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00"/>
        <w:jc w:val="center"/>
      </w:pPr>
      <w:r>
        <w:rPr>
          <w:rFonts w:ascii="Arial" w:cs="Arial" w:eastAsia="Arial" w:hAnsi="Arial"/>
          <w:b/>
          <w:bCs/>
          <w:color w:val="1B3A5C"/>
          <w:sz w:val="44"/>
          <w:szCs w:val="44"/>
        </w:rPr>
        <w:t xml:space="preserve">LABOR RELATIONS RESEARCH PLATFORM</w:t>
      </w:r>
    </w:p>
    <w:p>
      <w:pPr>
        <w:pBdr>
          <w:bottom w:val="single" w:color="E87722" w:sz="6" w:space="12"/>
        </w:pBdr>
        <w:spacing w:after="60"/>
        <w:jc w:val="center"/>
      </w:pPr>
      <w:r>
        <w:rPr>
          <w:rFonts w:ascii="Arial" w:cs="Arial" w:eastAsia="Arial" w:hAnsi="Arial"/>
          <w:color w:val="2E75B6"/>
          <w:sz w:val="32"/>
          <w:szCs w:val="32"/>
        </w:rPr>
        <w:t xml:space="preserve">Future Projects &amp; Post-Launch Goals</w:t>
      </w:r>
    </w:p>
    <w:p>
      <w:pPr>
        <w:spacing w:after="60"/>
      </w:pPr>
    </w:p>
    <w:p>
      <w:pPr>
        <w:spacing w:after="60"/>
        <w:jc w:val="center"/>
      </w:pPr>
      <w:r>
        <w:rPr>
          <w:rFonts w:ascii="Arial" w:cs="Arial" w:eastAsia="Arial" w:hAnsi="Arial"/>
          <w:color w:val="666666"/>
          <w:sz w:val="24"/>
          <w:szCs w:val="24"/>
        </w:rPr>
        <w:t xml:space="preserve">February 2026</w:t>
      </w:r>
    </w:p>
    <w:p>
      <w:pPr>
        <w:spacing w:after="400"/>
        <w:jc w:val="center"/>
      </w:pPr>
      <w:r>
        <w:rPr>
          <w:rFonts w:ascii="Arial" w:cs="Arial" w:eastAsia="Arial" w:hAnsi="Arial"/>
          <w:i/>
          <w:iCs/>
          <w:color w:val="666666"/>
          <w:sz w:val="20"/>
          <w:szCs w:val="20"/>
        </w:rPr>
        <w:t xml:space="preserve">Aggregated from 15+ research and strategy documents</w:t>
      </w:r>
    </w:p>
    <w:p>
      <w:pPr>
        <w:spacing w:after="60"/>
      </w:pP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D5E8F0" w:val="clear"/>
            <w:tcMar>
              <w:top w:type="dxa" w:w="200"/>
              <w:left w:type="dxa" w:w="300"/>
              <w:bottom w:type="dxa" w:w="200"/>
              <w:right w:type="dxa" w:w="300"/>
            </w:tcMar>
          </w:tcPr>
          <w:p>
            <w:pPr>
              <w:spacing w:after="120"/>
            </w:pPr>
            <w:r>
              <w:rPr>
                <w:rFonts w:ascii="Arial" w:cs="Arial" w:eastAsia="Arial" w:hAnsi="Arial"/>
                <w:b/>
                <w:bCs/>
                <w:color w:val="1B3A5C"/>
                <w:sz w:val="24"/>
                <w:szCs w:val="24"/>
              </w:rPr>
              <w:t xml:space="preserve">What This Document Is</w:t>
            </w:r>
          </w:p>
          <w:p>
            <w:pPr>
              <w:spacing w:after="100"/>
            </w:pPr>
            <w:r>
              <w:rPr>
                <w:rFonts w:ascii="Arial" w:cs="Arial" w:eastAsia="Arial" w:hAnsi="Arial"/>
                <w:color w:val="333333"/>
                <w:sz w:val="20"/>
                <w:szCs w:val="20"/>
              </w:rPr>
              <w:t xml:space="preserve">This document collects every major idea, research finding, and expansion plan that has been explored during the platform’s development but isn’t part of the launch roadmap. Think of it as a menu of “what comes next” — organized by topic, with plain-language explanations of what each project would do, why it matters for organizers, and roughly what it would take to build.</w:t>
            </w:r>
          </w:p>
          <w:p>
            <w:r>
              <w:rPr>
                <w:rFonts w:ascii="Arial" w:cs="Arial" w:eastAsia="Arial" w:hAnsi="Arial"/>
                <w:color w:val="333333"/>
                <w:sz w:val="20"/>
                <w:szCs w:val="20"/>
              </w:rPr>
              <w:t xml:space="preserve">None of these projects block the launch. They’re listed here so good ideas don’t get lost and so you can prioritize based on what real users need most.</w:t>
            </w:r>
          </w:p>
        </w:tc>
      </w:tr>
    </w:tbl>
    <w:p>
      <w:r>
        <w:br w:type="page"/>
      </w:r>
    </w:p>
    <w:p>
      <w:pPr>
        <w:pStyle w:val="Heading1"/>
      </w:pPr>
      <w:r>
        <w:t xml:space="preserve">At a Glance: All Future Projects</w:t>
      </w:r>
    </w:p>
    <w:p>
      <w:pPr>
        <w:spacing w:after="180"/>
      </w:pPr>
      <w:r>
        <w:rPr>
          <w:rFonts w:ascii="Arial" w:cs="Arial" w:eastAsia="Arial" w:hAnsi="Arial"/>
          <w:color w:val="333333"/>
          <w:sz w:val="22"/>
          <w:szCs w:val="22"/>
        </w:rPr>
        <w:t xml:space="preserve">Each project falls into one of three priority tiers based on how directly it helps organizers and how much existing groundwork already supports 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1800"/>
        <w:gridCol w:w="1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Payoff</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Union Contract Database (CBA)</w:t>
            </w:r>
          </w:p>
        </w:tc>
        <w:tc>
          <w:tcPr>
            <w:tcW w:type="dxa" w:w="120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E87722"/>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9–12 months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Searchable contract language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Scraping pipeline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Web Scraper: Union Sites</w:t>
            </w:r>
          </w:p>
        </w:tc>
        <w:tc>
          <w:tcPr>
            <w:tcW w:type="dxa" w:w="120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E87722"/>
                <w:sz w:val="18"/>
                <w:szCs w:val="18"/>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4–6 weeks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Public-sector employers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Crawl4AI setup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Web Scraper: Employer Sites</w:t>
            </w:r>
          </w:p>
        </w:tc>
        <w:tc>
          <w:tcPr>
            <w:tcW w:type="dxa" w:w="120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E87722"/>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4–6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Company profiles at scale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Crawl4AI setup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SEC EDGAR Integration</w:t>
            </w:r>
          </w:p>
        </w:tc>
        <w:tc>
          <w:tcPr>
            <w:tcW w:type="dxa" w:w="120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E87722"/>
                <w:sz w:val="18"/>
                <w:szCs w:val="18"/>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3–4 weeks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Corporate hierarchy + EIN match</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Matching pipeline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Prevailing Wage Intelligence</w:t>
            </w:r>
          </w:p>
        </w:tc>
        <w:tc>
          <w:tcPr>
            <w:tcW w:type="dxa" w:w="120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E87722"/>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6–8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Subsidy-based organizing targets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Geographic analysis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Advanced Scoring (Propensity)</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4–6 weeks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"Should be union" probability</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Better match rates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Gower Similarity Engine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"87% similar to unionized X"</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NAICS coverage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State PERB Data</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6–8 weeks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First-ever public sector dataset</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FOIA/FOIL requests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Entity Resolution Upgrade (Splink)</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Higher match rates everywhere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 matching done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"Union-Lost" Historical Analysis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2–4 weeks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happens after unions leave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Historical data loaded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Occupation-Based Similarity</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Cross-industry comparisons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BLS OEWS data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Contract Expiration Alerts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1–2 weeks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Timely organizing triggers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accounts, email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CPS Microdata (Granular Density)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FUTURE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density cross-tabs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IPUMS access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Text-Based Employer Embeddings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FUTURE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3–4 weeks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AI-powered employer matching</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Company descriptions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Multi-Tenant Union Workspaces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FUTURE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Each union sees their territory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auth system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Campaign Tracking</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FUTURE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2–3 weeks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Track organizing stages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accounts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News &amp; Media Monitoring</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FUTURE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Auto-detect labor news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News API subscription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Board Report Generation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FUTURE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1–2 weeks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One-click PDF for meetings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 + export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5-Area Frontend Expansion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FUTURE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navigation structure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2 architecture</w:t>
            </w:r>
          </w:p>
        </w:tc>
      </w:tr>
    </w:tbl>
    <w:p>
      <w:r>
        <w:br w:type="page"/>
      </w:r>
    </w:p>
    <w:p>
      <w:pPr>
        <w:pStyle w:val="Heading1"/>
      </w:pPr>
      <w:r>
        <w:t xml:space="preserve">1. Union Contract Database (CBA Analysis at Scale)</w:t>
      </w:r>
    </w:p>
    <w:p>
      <w:pPr>
        <w:pStyle w:val="Heading3"/>
      </w:pPr>
      <w:r>
        <w:t xml:space="preserve">What it is</w:t>
      </w:r>
    </w:p>
    <w:p>
      <w:pPr>
        <w:spacing w:after="180"/>
      </w:pPr>
      <w:r>
        <w:rPr>
          <w:rFonts w:ascii="Arial" w:cs="Arial" w:eastAsia="Arial" w:hAnsi="Arial"/>
          <w:color w:val="333333"/>
          <w:sz w:val="22"/>
          <w:szCs w:val="22"/>
        </w:rPr>
        <w:t xml:space="preserve">A system that collects thousands of actual union contracts (called Collective Bargaining Agreements, or CBAs), reads them using AI, pulls out the important parts — wages, grievance procedures, seniority rules, health benefits — and makes them searchable. An organizer could type “show me grievance procedures in healthcare contracts in New York” and get back actual contract language from dozens of agreements.</w:t>
      </w:r>
    </w:p>
    <w:p>
      <w:pPr>
        <w:pStyle w:val="Heading3"/>
      </w:pPr>
      <w:r>
        <w:t xml:space="preserve">Why it matters</w:t>
      </w:r>
    </w:p>
    <w:p>
      <w:pPr>
        <w:spacing w:after="180"/>
      </w:pPr>
      <w:r>
        <w:rPr>
          <w:rFonts w:ascii="Arial" w:cs="Arial" w:eastAsia="Arial" w:hAnsi="Arial"/>
          <w:color w:val="333333"/>
          <w:sz w:val="22"/>
          <w:szCs w:val="22"/>
        </w:rPr>
        <w:t xml:space="preserve">Right now, if an organizer wants to know “what did other unions negotiate for health benefits in similar workplaces?” they have to manually hunt through PDF contracts one by one. This would let them search across thousands of contracts instantly. It also answers a question that comes up in every organizing conversation: “What would a union contract actually look like for us?”</w:t>
      </w:r>
    </w:p>
    <w:p>
      <w:pPr>
        <w:pStyle w:val="Heading3"/>
      </w:pPr>
      <w:r>
        <w:t xml:space="preserve">Where the contracts come from</w:t>
      </w:r>
    </w:p>
    <w:p>
      <w:pPr>
        <w:spacing w:after="180"/>
      </w:pPr>
      <w:r>
        <w:rPr>
          <w:rFonts w:ascii="Arial" w:cs="Arial" w:eastAsia="Arial" w:hAnsi="Arial"/>
          <w:color w:val="333333"/>
          <w:sz w:val="22"/>
          <w:szCs w:val="22"/>
        </w:rPr>
        <w:t xml:space="preserve">There are over 25,000 contracts freely available from public sources. The biggest are SeeThroughNY (about 17,000 New York public-sector contracts), New Jersey PERC (6,366 contracts), Ohio SERB (3,000–5,000), the federal OPM database (1,000–2,000), and the DOL/OLMS collection (1,500–2,500). The Cornell Kheel Center holds a massive historical archive going back to 1887. None of these offer a one-click bulk download — they all require some amount of automated scraping or public records requests to get the files.</w:t>
      </w:r>
    </w:p>
    <w:p>
      <w:pPr>
        <w:pStyle w:val="Heading3"/>
      </w:pPr>
      <w:r>
        <w:t xml:space="preserve">How the AI reading works</w:t>
      </w:r>
    </w:p>
    <w:p>
      <w:pPr>
        <w:spacing w:after="180"/>
      </w:pPr>
      <w:r>
        <w:rPr>
          <w:rFonts w:ascii="Arial" w:cs="Arial" w:eastAsia="Arial" w:hAnsi="Arial"/>
          <w:color w:val="333333"/>
          <w:sz w:val="22"/>
          <w:szCs w:val="22"/>
        </w:rPr>
        <w:t xml:space="preserve">The system would work in layers. First, it figures out whether each contract PDF is digital text or a scanned image. Digital PDFs get read instantly by a free tool called PyMuPDF. Scanned PDFs get sent to a cloud service (like Mistral OCR) that reads the images — this costs about $1 per 1,000 pages. Then an AI language model reads through the text and identifies specific types of clauses: wages, benefits, grievance procedures, management rights, and so on. Research shows these AI models can correctly identify about 86% of contract clauses without any special training.</w:t>
      </w:r>
    </w:p>
    <w:p>
      <w:pPr>
        <w:pStyle w:val="Heading3"/>
      </w:pPr>
      <w:r>
        <w:t xml:space="preserve">What it would cost</w:t>
      </w:r>
    </w:p>
    <w:p>
      <w:pPr>
        <w:spacing w:after="180"/>
      </w:pPr>
      <w:r>
        <w:rPr>
          <w:rFonts w:ascii="Arial" w:cs="Arial" w:eastAsia="Arial" w:hAnsi="Arial"/>
          <w:color w:val="333333"/>
          <w:sz w:val="22"/>
          <w:szCs w:val="22"/>
        </w:rPr>
        <w:t xml:space="preserve">The total cost to process 5,000 contracts would be roughly $250–$1,200 for OCR and AI extraction, plus about $100–350/month in server costs. The entire first year would run about $1,500–5,000. The most expensive part is the AI clause extraction, but using batch processing (sending contracts in bulk overnight at discounted rates) keeps this manageable.</w:t>
      </w:r>
    </w:p>
    <w:p>
      <w:pPr>
        <w:pStyle w:val="Heading3"/>
      </w:pPr>
      <w:r>
        <w:t xml:space="preserve">The academic foundation</w:t>
      </w:r>
    </w:p>
    <w:p>
      <w:pPr>
        <w:spacing w:after="180"/>
      </w:pPr>
      <w:r>
        <w:rPr>
          <w:rFonts w:ascii="Arial" w:cs="Arial" w:eastAsia="Arial" w:hAnsi="Arial"/>
          <w:color w:val="333333"/>
          <w:sz w:val="22"/>
          <w:szCs w:val="22"/>
        </w:rPr>
        <w:t xml:space="preserve">A major research paper by Arold, Ash, MacLeod, and Naidu (NBER, March 2025) analyzed 32,402 Canadian union contracts and developed a method for understanding the legal meaning of contract language by looking at specific words like “shall,” “may,” and “shall not.” These words signal different levels of legal force — “employees may request overtime” is very different from “employees shall receive overtime” even though the sentences look similar. Their code is publicly available and could be adapted for this platform.</w:t>
      </w:r>
    </w:p>
    <w:p>
      <w:pPr>
        <w:pStyle w:val="Heading3"/>
      </w:pPr>
      <w:r>
        <w:t xml:space="preserve">Timeline</w:t>
      </w:r>
    </w:p>
    <w:p>
      <w:pPr>
        <w:spacing w:after="180"/>
      </w:pPr>
      <w:r>
        <w:rPr>
          <w:rFonts w:ascii="Arial" w:cs="Arial" w:eastAsia="Arial" w:hAnsi="Arial"/>
          <w:color w:val="333333"/>
          <w:sz w:val="22"/>
          <w:szCs w:val="22"/>
        </w:rPr>
        <w:t xml:space="preserve">9–12 months for a solo developer to reach 5,000 processed contracts with searchable clause extraction. Months 1–2 for the ingestion pipeline, months 3–4 for search and basic extraction, months 5–8 for scaling and quality, months 9–12 for analytics and cross-contract comparisons.</w:t>
      </w:r>
    </w:p>
    <w:p>
      <w:pPr>
        <w:pBdr>
          <w:bottom w:val="single" w:color="2E75B6" w:sz="4" w:space="8"/>
        </w:pBdr>
        <w:spacing w:before="200" w:after="200"/>
      </w:pPr>
    </w:p>
    <w:p>
      <w:pPr>
        <w:pStyle w:val="Heading1"/>
      </w:pPr>
      <w:r>
        <w:t xml:space="preserve">2. Web Scraping Pipeline (Union + Employer Websites)</w:t>
      </w:r>
    </w:p>
    <w:p>
      <w:pPr>
        <w:pStyle w:val="Heading3"/>
      </w:pPr>
      <w:r>
        <w:t xml:space="preserve">What it is</w:t>
      </w:r>
    </w:p>
    <w:p>
      <w:pPr>
        <w:spacing w:after="180"/>
      </w:pPr>
      <w:r>
        <w:rPr>
          <w:rFonts w:ascii="Arial" w:cs="Arial" w:eastAsia="Arial" w:hAnsi="Arial"/>
          <w:color w:val="333333"/>
          <w:sz w:val="22"/>
          <w:szCs w:val="22"/>
        </w:rPr>
        <w:t xml:space="preserve">Two focused tools that automatically visit websites and extract useful information. One visits union websites to find data about locals, officers, and employers they represent. The other visits company websites to fill in gaps in employer records — things like company descriptions, employee counts, and industry details.</w:t>
      </w:r>
    </w:p>
    <w:p>
      <w:pPr>
        <w:pStyle w:val="Heading3"/>
      </w:pPr>
      <w:r>
        <w:t xml:space="preserve">Why it matters</w:t>
      </w:r>
    </w:p>
    <w:p>
      <w:pPr>
        <w:spacing w:after="180"/>
      </w:pPr>
      <w:r>
        <w:rPr>
          <w:rFonts w:ascii="Arial" w:cs="Arial" w:eastAsia="Arial" w:hAnsi="Arial"/>
          <w:color w:val="333333"/>
          <w:sz w:val="22"/>
          <w:szCs w:val="22"/>
        </w:rPr>
        <w:t xml:space="preserve">Government databases miss a lot. Public-sector unions often don’t file with the federal Department of Labor at all, which means thousands of employers and union locals are invisible in the current data. Union websites often list this information publicly but nobody has ever systematically collected it. On the employer side, the platform knows an employer’s name and address from government filings but often has no description of what the company actually does, how many people work there, or who runs it.</w:t>
      </w:r>
    </w:p>
    <w:p>
      <w:pPr>
        <w:pStyle w:val="Heading3"/>
      </w:pPr>
      <w:r>
        <w:t xml:space="preserve">The union scraper: what was discovered</w:t>
      </w:r>
    </w:p>
    <w:p>
      <w:pPr>
        <w:spacing w:after="180"/>
      </w:pPr>
      <w:r>
        <w:rPr>
          <w:rFonts w:ascii="Arial" w:cs="Arial" w:eastAsia="Arial" w:hAnsi="Arial"/>
          <w:color w:val="333333"/>
          <w:sz w:val="22"/>
          <w:szCs w:val="22"/>
        </w:rPr>
        <w:t xml:space="preserve">After investigating all 12 major unions, a clear picture emerged. Teamsters has the richest publicly available directory — every local listed on a single page with officers, phone numbers, emails, and industry affiliations across 22 divisions. AFSCME is the most strategically valuable because local union names often include the employer name (e.g., “Local 1072 | University of Maryland”), providing a direct path to identifying thousands of public-sector employers that don’t appear in any federal database. UNITE HERE publishes detailed officer information for every local. CWA uses a filterable directory by district and sector.</w:t>
      </w:r>
    </w:p>
    <w:p>
      <w:pPr>
        <w:spacing w:after="180"/>
      </w:pPr>
      <w:r>
        <w:rPr>
          <w:rFonts w:ascii="Arial" w:cs="Arial" w:eastAsia="Arial" w:hAnsi="Arial"/>
          <w:color w:val="333333"/>
          <w:sz w:val="22"/>
          <w:szCs w:val="22"/>
        </w:rPr>
        <w:t xml:space="preserve">On the harder end, AFT requires a member login, IBEW’s directory runs entirely in JavaScript (meaning a simple web request gets nothing back — you need a full simulated browser), and UAW’s directory has the same problem. SEIU’s finder shows local names and states but no contact details at the national level.</w:t>
      </w:r>
    </w:p>
    <w:p>
      <w:pPr>
        <w:pStyle w:val="Heading3"/>
      </w:pPr>
      <w:r>
        <w:t xml:space="preserve">Why union sites are easier to scrape than company sites</w:t>
      </w:r>
    </w:p>
    <w:p>
      <w:pPr>
        <w:spacing w:after="180"/>
      </w:pPr>
      <w:r>
        <w:rPr>
          <w:rFonts w:ascii="Arial" w:cs="Arial" w:eastAsia="Arial" w:hAnsi="Arial"/>
          <w:color w:val="333333"/>
          <w:sz w:val="22"/>
          <w:szCs w:val="22"/>
        </w:rPr>
        <w:t xml:space="preserve">Most union websites run on WordPress, which is a widely-used website platform that has a built-in system for sharing data in a structured format (called a REST API). This means that instead of trying to read the messy visual layout of a webpage, the scraper can often just ask the website for its data directly and get back clean, organized information. Union sites also rarely invest in anti-bot protection, have low traffic (so rate limiting is generous), and most of their public content loads as plain HTML rather than requiring a browser to render JavaScript.</w:t>
      </w:r>
    </w:p>
    <w:p>
      <w:pPr>
        <w:pStyle w:val="Heading3"/>
      </w:pPr>
      <w:r>
        <w:t xml:space="preserve">The employer enrichment tool</w:t>
      </w:r>
    </w:p>
    <w:p>
      <w:pPr>
        <w:spacing w:after="180"/>
      </w:pPr>
      <w:r>
        <w:rPr>
          <w:rFonts w:ascii="Arial" w:cs="Arial" w:eastAsia="Arial" w:hAnsi="Arial"/>
          <w:color w:val="333333"/>
          <w:sz w:val="22"/>
          <w:szCs w:val="22"/>
        </w:rPr>
        <w:t xml:space="preserve">For companies, tools like Firecrawl can visit a company website, understand its layout using AI, and extract structured information like industry, services offered, employee count, headquarters location, and founding year. On its own benchmark, Firecrawl achieves about 87–94% accuracy. The main risk is that the AI sometimes makes up plausible-sounding information when the real data isn’t on the page (called “hallucination”), so every extraction needs a confidence score and human spot-checking.</w:t>
      </w:r>
    </w:p>
    <w:p>
      <w:pPr>
        <w:pStyle w:val="Heading3"/>
      </w:pPr>
      <w:r>
        <w:t xml:space="preserve">What’s already been proven</w:t>
      </w:r>
    </w:p>
    <w:p>
      <w:pPr>
        <w:spacing w:after="180"/>
      </w:pPr>
      <w:r>
        <w:rPr>
          <w:rFonts w:ascii="Arial" w:cs="Arial" w:eastAsia="Arial" w:hAnsi="Arial"/>
          <w:color w:val="333333"/>
          <w:sz w:val="22"/>
          <w:szCs w:val="22"/>
        </w:rPr>
        <w:t xml:space="preserve">The AFSCME scraper prototype already crawled 295 profiles, processed 103 sites, and extracted 160 employers. This validates the approach and shows it works at a meaningful scale. The next step would be expanding to Teamsters (338 locals), SEIU, UFCW, and UNITE HERE.</w:t>
      </w:r>
    </w:p>
    <w:p>
      <w:pPr>
        <w:pBdr>
          <w:bottom w:val="single" w:color="2E75B6" w:sz="4" w:space="8"/>
        </w:pBdr>
        <w:spacing w:before="200" w:after="200"/>
      </w:pPr>
    </w:p>
    <w:p>
      <w:pPr>
        <w:pStyle w:val="Heading1"/>
      </w:pPr>
      <w:r>
        <w:t xml:space="preserve">3. SEC EDGAR Corporate Intelligence</w:t>
      </w:r>
    </w:p>
    <w:p>
      <w:pPr>
        <w:pStyle w:val="Heading3"/>
      </w:pPr>
      <w:r>
        <w:t xml:space="preserve">What it is</w:t>
      </w:r>
    </w:p>
    <w:p>
      <w:pPr>
        <w:spacing w:after="180"/>
      </w:pPr>
      <w:r>
        <w:rPr>
          <w:rFonts w:ascii="Arial" w:cs="Arial" w:eastAsia="Arial" w:hAnsi="Arial"/>
          <w:color w:val="333333"/>
          <w:sz w:val="22"/>
          <w:szCs w:val="22"/>
        </w:rPr>
        <w:t xml:space="preserve">The SEC (Securities and Exchange Commission) requires publicly traded companies to file detailed reports about their business. These filings contain a goldmine of labor-relevant data: employee counts, how much companies spend on labor, whether they mention unions or collective bargaining in their risk factors, executive compensation, and — critically — lists of subsidiary companies they own.</w:t>
      </w:r>
    </w:p>
    <w:p>
      <w:pPr>
        <w:pStyle w:val="Heading3"/>
      </w:pPr>
      <w:r>
        <w:t xml:space="preserve">Why it matters</w:t>
      </w:r>
    </w:p>
    <w:p>
      <w:pPr>
        <w:spacing w:after="180"/>
      </w:pPr>
      <w:r>
        <w:rPr>
          <w:rFonts w:ascii="Arial" w:cs="Arial" w:eastAsia="Arial" w:hAnsi="Arial"/>
          <w:color w:val="333333"/>
          <w:sz w:val="22"/>
          <w:szCs w:val="22"/>
        </w:rPr>
        <w:t xml:space="preserve">Right now, when the platform shows an employer like “ABC Healthcare Corp,” it might not know that ABC is actually owned by a giant national chain with 50,000 employees and a history of fighting unions. SEC filings connect the dots between parent companies and their subsidiaries, revealing corporate structures that matter enormously for organizing strategy. They also provide employee counts for thousands of companies in a structured, machine-readable format.</w:t>
      </w:r>
    </w:p>
    <w:p>
      <w:pPr>
        <w:pStyle w:val="Heading3"/>
      </w:pPr>
      <w:r>
        <w:t xml:space="preserve">The EIN connection (this is the big deal)</w:t>
      </w:r>
    </w:p>
    <w:p>
      <w:pPr>
        <w:spacing w:after="180"/>
      </w:pPr>
      <w:r>
        <w:rPr>
          <w:rFonts w:ascii="Arial" w:cs="Arial" w:eastAsia="Arial" w:hAnsi="Arial"/>
          <w:color w:val="333333"/>
          <w:sz w:val="22"/>
          <w:szCs w:val="22"/>
        </w:rPr>
        <w:t xml:space="preserve">Every SEC filing includes the company’s EIN (Employer Identification Number) — the same ID that appears in DOL filings and IRS records. This means the platform could directly link SEC corporate data to existing employer records without any fuzzy name-matching guesswork. A bulk download of all SEC company records (about 800,000 entities) provides a master lookup table of CIK-to-EIN mappings that enables automatic connections across databases.</w:t>
      </w:r>
    </w:p>
    <w:p>
      <w:pPr>
        <w:pStyle w:val="Heading3"/>
      </w:pPr>
      <w:r>
        <w:t xml:space="preserve">What’s in the filings</w:t>
      </w:r>
    </w:p>
    <w:p>
      <w:pPr>
        <w:pStyle w:val="ListParagraph"/>
        <w:numPr>
          <w:ilvl w:val="0"/>
          <w:numId w:val="2"/>
        </w:numPr>
        <w:spacing w:after="80"/>
      </w:pPr>
      <w:r>
        <w:rPr>
          <w:rFonts w:ascii="Arial" w:cs="Arial" w:eastAsia="Arial" w:hAnsi="Arial"/>
          <w:b/>
          <w:bCs/>
          <w:color w:val="333333"/>
          <w:sz w:val="22"/>
          <w:szCs w:val="22"/>
        </w:rPr>
        <w:t xml:space="preserve">10-K Annual Reports: </w:t>
      </w:r>
      <w:r>
        <w:rPr>
          <w:rFonts w:ascii="Arial" w:cs="Arial" w:eastAsia="Arial" w:hAnsi="Arial"/>
          <w:color w:val="333333"/>
          <w:sz w:val="22"/>
          <w:szCs w:val="22"/>
        </w:rPr>
        <w:t xml:space="preserve">The richest source. Since November 2020, companies must disclose their “human capital” practices — about 58% include workforce demographics, turnover rates, and labor relations details. The Risk Factors section often mentions union activity, CBA expirations, and strike risk.</w:t>
      </w:r>
    </w:p>
    <w:p>
      <w:pPr>
        <w:pStyle w:val="ListParagraph"/>
        <w:numPr>
          <w:ilvl w:val="0"/>
          <w:numId w:val="2"/>
        </w:numPr>
        <w:spacing w:after="80"/>
      </w:pPr>
      <w:r>
        <w:rPr>
          <w:rFonts w:ascii="Arial" w:cs="Arial" w:eastAsia="Arial" w:hAnsi="Arial"/>
          <w:b/>
          <w:bCs/>
          <w:color w:val="333333"/>
          <w:sz w:val="22"/>
          <w:szCs w:val="22"/>
        </w:rPr>
        <w:t xml:space="preserve">8-K Current Reports: </w:t>
      </w:r>
      <w:r>
        <w:rPr>
          <w:rFonts w:ascii="Arial" w:cs="Arial" w:eastAsia="Arial" w:hAnsi="Arial"/>
          <w:color w:val="333333"/>
          <w:sz w:val="22"/>
          <w:szCs w:val="22"/>
        </w:rPr>
        <w:t xml:space="preserve">Real-time filings about major events, including layoffs and plant closures. These could serve as early warning signals.</w:t>
      </w:r>
    </w:p>
    <w:p>
      <w:pPr>
        <w:pStyle w:val="ListParagraph"/>
        <w:numPr>
          <w:ilvl w:val="0"/>
          <w:numId w:val="2"/>
        </w:numPr>
        <w:spacing w:after="80"/>
      </w:pPr>
      <w:r>
        <w:rPr>
          <w:rFonts w:ascii="Arial" w:cs="Arial" w:eastAsia="Arial" w:hAnsi="Arial"/>
          <w:b/>
          <w:bCs/>
          <w:color w:val="333333"/>
          <w:sz w:val="22"/>
          <w:szCs w:val="22"/>
        </w:rPr>
        <w:t xml:space="preserve">Exhibit 21 (Subsidiary Lists): </w:t>
      </w:r>
      <w:r>
        <w:rPr>
          <w:rFonts w:ascii="Arial" w:cs="Arial" w:eastAsia="Arial" w:hAnsi="Arial"/>
          <w:color w:val="333333"/>
          <w:sz w:val="22"/>
          <w:szCs w:val="22"/>
        </w:rPr>
        <w:t xml:space="preserve">Companies list every subsidiary they own. Parsing these reveals which employers in the platform’s database are actually connected through parent companies.</w:t>
      </w:r>
    </w:p>
    <w:p>
      <w:pPr>
        <w:pStyle w:val="ListParagraph"/>
        <w:numPr>
          <w:ilvl w:val="0"/>
          <w:numId w:val="2"/>
        </w:numPr>
        <w:spacing w:after="80"/>
      </w:pPr>
      <w:r>
        <w:rPr>
          <w:rFonts w:ascii="Arial" w:cs="Arial" w:eastAsia="Arial" w:hAnsi="Arial"/>
          <w:b/>
          <w:bCs/>
          <w:color w:val="333333"/>
          <w:sz w:val="22"/>
          <w:szCs w:val="22"/>
        </w:rPr>
        <w:t xml:space="preserve">XBRL Tags: </w:t>
      </w:r>
      <w:r>
        <w:rPr>
          <w:rFonts w:ascii="Arial" w:cs="Arial" w:eastAsia="Arial" w:hAnsi="Arial"/>
          <w:color w:val="333333"/>
          <w:sz w:val="22"/>
          <w:szCs w:val="22"/>
        </w:rPr>
        <w:t xml:space="preserve">Structured, machine-readable data fields. One particularly valuable tag literally stores CBA expiration dates for companies participating in multiemployer pension plans. The platform could automatically flag when contracts are about to expire.</w:t>
      </w:r>
    </w:p>
    <w:p>
      <w:pPr>
        <w:pStyle w:val="Heading3"/>
      </w:pPr>
      <w:r>
        <w:t xml:space="preserve">Existing tools</w:t>
      </w:r>
    </w:p>
    <w:p>
      <w:pPr>
        <w:spacing w:after="180"/>
      </w:pPr>
      <w:r>
        <w:rPr>
          <w:rFonts w:ascii="Arial" w:cs="Arial" w:eastAsia="Arial" w:hAnsi="Arial"/>
          <w:color w:val="333333"/>
          <w:sz w:val="22"/>
          <w:szCs w:val="22"/>
        </w:rPr>
        <w:t xml:space="preserve">The Python library “edgartools” (1,400+ stars on GitHub, very actively maintained) handles all of this — parsing filings, extracting financial data, reading XBRL tags. It even has a built-in AI integration. A companion tool called “sec-edgar-downloader” handles bulk file downloads with proper rate limiting so the SEC doesn’t block access.</w:t>
      </w:r>
    </w:p>
    <w:p>
      <w:pPr>
        <w:pBdr>
          <w:bottom w:val="single" w:color="2E75B6" w:sz="4" w:space="8"/>
        </w:pBdr>
        <w:spacing w:before="200" w:after="200"/>
      </w:pPr>
    </w:p>
    <w:p>
      <w:pPr>
        <w:pStyle w:val="Heading1"/>
      </w:pPr>
      <w:r>
        <w:t xml:space="preserve">4. Prevailing Wage &amp; Subsidy Intelligence</w:t>
      </w:r>
    </w:p>
    <w:p>
      <w:pPr>
        <w:pStyle w:val="Heading3"/>
      </w:pPr>
      <w:r>
        <w:t xml:space="preserve">What it is</w:t>
      </w:r>
    </w:p>
    <w:p>
      <w:pPr>
        <w:spacing w:after="180"/>
      </w:pPr>
      <w:r>
        <w:rPr>
          <w:rFonts w:ascii="Arial" w:cs="Arial" w:eastAsia="Arial" w:hAnsi="Arial"/>
          <w:color w:val="333333"/>
          <w:sz w:val="22"/>
          <w:szCs w:val="22"/>
        </w:rPr>
        <w:t xml:space="preserve">Across the country, government programs give tax breaks, grants, and subsidies to private employers — but with strings attached. Many require paying “prevailing wages” (essentially union-scale pay rates) or hiring through registered apprenticeship programs. These programs create public records showing exactly which employers are receiving public money, what wage obligations they’re under, and whether they’re complying. This project would build a database cross-referencing subsidy recipients with the platform’s existing employer data.</w:t>
      </w:r>
    </w:p>
    <w:p>
      <w:pPr>
        <w:pStyle w:val="Heading3"/>
      </w:pPr>
      <w:r>
        <w:t xml:space="preserve">Why it matters for organizing</w:t>
      </w:r>
    </w:p>
    <w:p>
      <w:pPr>
        <w:spacing w:after="180"/>
      </w:pPr>
      <w:r>
        <w:rPr>
          <w:rFonts w:ascii="Arial" w:cs="Arial" w:eastAsia="Arial" w:hAnsi="Arial"/>
          <w:color w:val="333333"/>
          <w:sz w:val="22"/>
          <w:szCs w:val="22"/>
        </w:rPr>
        <w:t xml:space="preserve">The gap between what employers are required to pay and what they actually pay is itself an organizing opportunity. An organizer who can show that a specific developer is receiving millions in tax breaks but using non-union contractors on a project that legally requires prevailing wages has both a compliance complaint and a powerful organizing story. The Inflation Reduction Act alone has created prevailing wage obligations on an estimated 3.9 million construction jobs at over 6,000 clean energy projects nationwide.</w:t>
      </w:r>
    </w:p>
    <w:p>
      <w:pPr>
        <w:pStyle w:val="Heading3"/>
      </w:pPr>
      <w:r>
        <w:t xml:space="preserve">Major programs identified</w:t>
      </w:r>
    </w:p>
    <w:p>
      <w:pPr>
        <w:spacing w:after="180"/>
      </w:pPr>
      <w:r>
        <w:rPr>
          <w:rFonts w:ascii="Arial" w:cs="Arial" w:eastAsia="Arial" w:hAnsi="Arial"/>
          <w:color w:val="333333"/>
          <w:sz w:val="22"/>
          <w:szCs w:val="22"/>
        </w:rPr>
        <w:t xml:space="preserve">Research identified over 25 specific programs at every level of government:</w:t>
      </w:r>
    </w:p>
    <w:p>
      <w:pPr>
        <w:pStyle w:val="ListParagraph"/>
        <w:numPr>
          <w:ilvl w:val="0"/>
          <w:numId w:val="3"/>
        </w:numPr>
        <w:spacing w:after="80"/>
      </w:pPr>
      <w:r>
        <w:rPr>
          <w:rFonts w:ascii="Arial" w:cs="Arial" w:eastAsia="Arial" w:hAnsi="Arial"/>
          <w:b/>
          <w:bCs/>
          <w:color w:val="333333"/>
          <w:sz w:val="22"/>
          <w:szCs w:val="22"/>
        </w:rPr>
        <w:t xml:space="preserve">Federal: </w:t>
      </w:r>
      <w:r>
        <w:rPr>
          <w:rFonts w:ascii="Arial" w:cs="Arial" w:eastAsia="Arial" w:hAnsi="Arial"/>
          <w:color w:val="333333"/>
          <w:sz w:val="22"/>
          <w:szCs w:val="22"/>
        </w:rPr>
        <w:t xml:space="preserve">The Inflation Reduction Act (5x tax credit multiplier for prevailing wage compliance), CHIPS Act ($52.7 billion in semiconductor subsidies with Davis-Bacon requirements), and the Infrastructure Investment and Jobs Act.</w:t>
      </w:r>
    </w:p>
    <w:p>
      <w:pPr>
        <w:pStyle w:val="ListParagraph"/>
        <w:numPr>
          <w:ilvl w:val="0"/>
          <w:numId w:val="3"/>
        </w:numPr>
        <w:spacing w:after="80"/>
      </w:pPr>
      <w:r>
        <w:rPr>
          <w:rFonts w:ascii="Arial" w:cs="Arial" w:eastAsia="Arial" w:hAnsi="Arial"/>
          <w:b/>
          <w:bCs/>
          <w:color w:val="333333"/>
          <w:sz w:val="22"/>
          <w:szCs w:val="22"/>
        </w:rPr>
        <w:t xml:space="preserve">New York: </w:t>
      </w:r>
      <w:r>
        <w:rPr>
          <w:rFonts w:ascii="Arial" w:cs="Arial" w:eastAsia="Arial" w:hAnsi="Arial"/>
          <w:color w:val="333333"/>
          <w:sz w:val="22"/>
          <w:szCs w:val="22"/>
        </w:rPr>
        <w:t xml:space="preserve">The 485-x tax abatement ($1.7 billion/year in foregone revenue, covering 56% of all new multifamily construction in NYC), co-op/condo prevailing wage requirements, and IDA project requirements statewide.</w:t>
      </w:r>
    </w:p>
    <w:p>
      <w:pPr>
        <w:pStyle w:val="ListParagraph"/>
        <w:numPr>
          <w:ilvl w:val="0"/>
          <w:numId w:val="3"/>
        </w:numPr>
        <w:spacing w:after="80"/>
      </w:pPr>
      <w:r>
        <w:rPr>
          <w:rFonts w:ascii="Arial" w:cs="Arial" w:eastAsia="Arial" w:hAnsi="Arial"/>
          <w:b/>
          <w:bCs/>
          <w:color w:val="333333"/>
          <w:sz w:val="22"/>
          <w:szCs w:val="22"/>
        </w:rPr>
        <w:t xml:space="preserve">New Jersey: </w:t>
      </w:r>
      <w:r>
        <w:rPr>
          <w:rFonts w:ascii="Arial" w:cs="Arial" w:eastAsia="Arial" w:hAnsi="Arial"/>
          <w:color w:val="333333"/>
          <w:sz w:val="22"/>
          <w:szCs w:val="22"/>
        </w:rPr>
        <w:t xml:space="preserve">The most comprehensive state coverage — prevailing wage attached to virtually every economic development authority program across multiple agencies.</w:t>
      </w:r>
    </w:p>
    <w:p>
      <w:pPr>
        <w:pStyle w:val="ListParagraph"/>
        <w:numPr>
          <w:ilvl w:val="0"/>
          <w:numId w:val="3"/>
        </w:numPr>
        <w:spacing w:after="80"/>
      </w:pPr>
      <w:r>
        <w:rPr>
          <w:rFonts w:ascii="Arial" w:cs="Arial" w:eastAsia="Arial" w:hAnsi="Arial"/>
          <w:b/>
          <w:bCs/>
          <w:color w:val="333333"/>
          <w:sz w:val="22"/>
          <w:szCs w:val="22"/>
        </w:rPr>
        <w:t xml:space="preserve">California: </w:t>
      </w:r>
      <w:r>
        <w:rPr>
          <w:rFonts w:ascii="Arial" w:cs="Arial" w:eastAsia="Arial" w:hAnsi="Arial"/>
          <w:color w:val="333333"/>
          <w:sz w:val="22"/>
          <w:szCs w:val="22"/>
        </w:rPr>
        <w:t xml:space="preserve">The most expansive definition of “public funds” in the country. A subsidy must be both under $500,000 and under 2% of project costs to avoid triggering prevailing wage.</w:t>
      </w:r>
    </w:p>
    <w:p>
      <w:pPr>
        <w:pStyle w:val="ListParagraph"/>
        <w:numPr>
          <w:ilvl w:val="0"/>
          <w:numId w:val="3"/>
        </w:numPr>
        <w:spacing w:after="80"/>
      </w:pPr>
      <w:r>
        <w:rPr>
          <w:rFonts w:ascii="Arial" w:cs="Arial" w:eastAsia="Arial" w:hAnsi="Arial"/>
          <w:b/>
          <w:bCs/>
          <w:color w:val="333333"/>
          <w:sz w:val="22"/>
          <w:szCs w:val="22"/>
        </w:rPr>
        <w:t xml:space="preserve">Other states: </w:t>
      </w:r>
      <w:r>
        <w:rPr>
          <w:rFonts w:ascii="Arial" w:cs="Arial" w:eastAsia="Arial" w:hAnsi="Arial"/>
          <w:color w:val="333333"/>
          <w:sz w:val="22"/>
          <w:szCs w:val="22"/>
        </w:rPr>
        <w:t xml:space="preserve">Connecticut ($1M threshold), Minnesota (first to mandate prevailing wage on affordable housing tax credits), Washington (tiered system linking tax deferral size to labor standards).</w:t>
      </w:r>
    </w:p>
    <w:p>
      <w:pPr>
        <w:pStyle w:val="Heading3"/>
      </w:pPr>
      <w:r>
        <w:t xml:space="preserve">Ten concrete organizing applications</w:t>
      </w:r>
    </w:p>
    <w:p>
      <w:pPr>
        <w:spacing w:after="180"/>
      </w:pPr>
      <w:r>
        <w:rPr>
          <w:rFonts w:ascii="Arial" w:cs="Arial" w:eastAsia="Arial" w:hAnsi="Arial"/>
          <w:color w:val="333333"/>
          <w:sz w:val="22"/>
          <w:szCs w:val="22"/>
        </w:rPr>
        <w:t xml:space="preserve">The research document includes ten specific, actionable strategies, including: cross-referencing NYC 485-x recipients to identify non-union contractors, using film tax credit data to track non-union productions receiving state subsidies, leveraging the IRA’s 80% credit penalty as organizing leverage against clean energy developers, mining Chicago’s TIF portal to find subsidized employers bypassing labor standards, filing False Claims Act whistleblower complaints as organizing leverage (LIUNA already won a $255,000 settlement doing this in New York), and targeting CHIPS Act recipients like TSMC for construction trades organizing.</w:t>
      </w:r>
    </w:p>
    <w:p>
      <w:pPr>
        <w:pStyle w:val="Heading3"/>
      </w:pPr>
      <w:r>
        <w:t xml:space="preserve">Key databases</w:t>
      </w:r>
    </w:p>
    <w:p>
      <w:pPr>
        <w:spacing w:after="180"/>
      </w:pPr>
      <w:r>
        <w:rPr>
          <w:rFonts w:ascii="Arial" w:cs="Arial" w:eastAsia="Arial" w:hAnsi="Arial"/>
          <w:color w:val="333333"/>
          <w:sz w:val="22"/>
          <w:szCs w:val="22"/>
        </w:rPr>
        <w:t xml:space="preserve">Good Jobs First’s Subsidy Tracker (722,000+ entries nationally), NYC Department of Finance property tax benefit lookup, the DOL’s interactive IRA project map, Chicago’s TIF Portal, and SAM.gov for federal prevailing wage rates by location and trade.</w:t>
      </w:r>
    </w:p>
    <w:p>
      <w:pPr>
        <w:pBdr>
          <w:bottom w:val="single" w:color="2E75B6" w:sz="4" w:space="8"/>
        </w:pBdr>
        <w:spacing w:before="200" w:after="200"/>
      </w:pPr>
    </w:p>
    <w:p>
      <w:pPr>
        <w:pStyle w:val="Heading1"/>
      </w:pPr>
      <w:r>
        <w:t xml:space="preserve">5. Advanced Scoring: Propensity Model &amp; Gower Distance</w:t>
      </w:r>
    </w:p>
    <w:p>
      <w:pPr>
        <w:pStyle w:val="Heading3"/>
      </w:pPr>
      <w:r>
        <w:t xml:space="preserve">What’s wrong with the current scoring</w:t>
      </w:r>
    </w:p>
    <w:p>
      <w:pPr>
        <w:spacing w:after="180"/>
      </w:pPr>
      <w:r>
        <w:rPr>
          <w:rFonts w:ascii="Arial" w:cs="Arial" w:eastAsia="Arial" w:hAnsi="Arial"/>
          <w:color w:val="333333"/>
          <w:sz w:val="22"/>
          <w:szCs w:val="22"/>
        </w:rPr>
        <w:t xml:space="preserve">The current scorecard looks at each employer in isolation and checks a list of factors: How big is the workplace? How unionized is the industry? Any OSHA violations? Any government contracts? Each factor gets some points, you add them up, and that’s the score. This works, but it misses the most powerful question an organizer actually asks: “Which non-union employers look the most like employers that already have a union?”</w:t>
      </w:r>
    </w:p>
    <w:p>
      <w:pPr>
        <w:pStyle w:val="Heading3"/>
      </w:pPr>
      <w:r>
        <w:t xml:space="preserve">Gower Distance: "How similar are these two employers?"</w:t>
      </w:r>
    </w:p>
    <w:p>
      <w:pPr>
        <w:spacing w:after="180"/>
      </w:pPr>
      <w:r>
        <w:rPr>
          <w:rFonts w:ascii="Arial" w:cs="Arial" w:eastAsia="Arial" w:hAnsi="Arial"/>
          <w:color w:val="333333"/>
          <w:sz w:val="22"/>
          <w:szCs w:val="22"/>
        </w:rPr>
        <w:t xml:space="preserve">Gower Distance is a math formula that compares two employers across everything the platform knows about them — industry, size, location, violation history, government contracts — and produces a single number between 0 (completely different) and 1 (basically twins). The practical advantage is that it handles missing data gracefully. If you don’t know an employer’s revenue but you know everything else, it just skips that factor and compares on what it has. With government data, you’re always missing something, so this matters a lot.</w:t>
      </w:r>
    </w:p>
    <w:p>
      <w:pPr>
        <w:spacing w:after="180"/>
      </w:pPr>
      <w:r>
        <w:rPr>
          <w:rFonts w:ascii="Arial" w:cs="Arial" w:eastAsia="Arial" w:hAnsi="Arial"/>
          <w:color w:val="333333"/>
          <w:sz w:val="22"/>
          <w:szCs w:val="22"/>
        </w:rPr>
        <w:t xml:space="preserve">Instead of “this employer scored 35 out of 62,” an organizer would see: “This non-union nursing home in Queens with 200 employees and 3 OSHA violations is 87% similar to this unionized nursing home in Brooklyn with 180 employees and 4 OSHA violations that SEIU already represents.” That’s a much more compelling pitch.</w:t>
      </w:r>
    </w:p>
    <w:p>
      <w:pPr>
        <w:pStyle w:val="Heading3"/>
      </w:pPr>
      <w:r>
        <w:t xml:space="preserve">Propensity Score: "What’s the probability this should be union?"</w:t>
      </w:r>
    </w:p>
    <w:p>
      <w:pPr>
        <w:spacing w:after="180"/>
      </w:pPr>
      <w:r>
        <w:rPr>
          <w:rFonts w:ascii="Arial" w:cs="Arial" w:eastAsia="Arial" w:hAnsi="Arial"/>
          <w:color w:val="333333"/>
          <w:sz w:val="22"/>
          <w:szCs w:val="22"/>
        </w:rPr>
        <w:t xml:space="preserve">This is the most powerful idea. The platform has thousands of employers where it knows whether they’re unionized. It also knows things about those employers — their industry, size, location, violation history. A statistical model can learn the pattern: “Employers that look like THIS tend to be unionized.” Then you apply that pattern to non-union employers. The model says: “Based on everything I know about this employer, there’s a 78% chance it should be unionized — meaning it looks almost identical to employers that already are.” That 78% becomes the organizing score.</w:t>
      </w:r>
    </w:p>
    <w:p>
      <w:pPr>
        <w:spacing w:after="180"/>
      </w:pPr>
      <w:r>
        <w:rPr>
          <w:rFonts w:ascii="Arial" w:cs="Arial" w:eastAsia="Arial" w:hAnsi="Arial"/>
          <w:color w:val="333333"/>
          <w:sz w:val="22"/>
          <w:szCs w:val="22"/>
        </w:rPr>
        <w:t xml:space="preserve">The key advantage over the hand-picked scoring: the data picks the weights instead of a human guessing. Maybe OSHA violations matter way more than employer size. Maybe government contracts matter less than expected. The model figures this out from actual patterns in the 60,000+ employer database. The catch is that it needs good examples of both unionized and non-unionized employers, which is where the Mergent data and OSHA establishment records come in.</w:t>
      </w:r>
    </w:p>
    <w:p>
      <w:pPr>
        <w:pStyle w:val="Heading3"/>
      </w:pPr>
      <w:r>
        <w:t xml:space="preserve">Entity Resolution Upgrade (Splink)</w:t>
      </w:r>
    </w:p>
    <w:p>
      <w:pPr>
        <w:spacing w:after="180"/>
      </w:pPr>
      <w:r>
        <w:rPr>
          <w:rFonts w:ascii="Arial" w:cs="Arial" w:eastAsia="Arial" w:hAnsi="Arial"/>
          <w:color w:val="333333"/>
          <w:sz w:val="22"/>
          <w:szCs w:val="22"/>
        </w:rPr>
        <w:t xml:space="preserve">Neither scoring improvement matters much if the platform can’t reliably tell that “WALMART INC” in OSHA data, “Wal-Mart Stores, Inc.” in NLRB records, and “WAL MART STORES INC” in wage theft data are all the same company. The current matching system already handles this through a 5-tier pipeline and achieves strong results (96.2% on F-7 to OLMS matching). But a tool called Splink — built by the UK Ministry of Justice, used by Australia’s national statistics agency — takes a probabilistic approach. Instead of “match or no match,” it says “92% chance these are the same entity.” It has native PostgreSQL support and can link a million records in about a minute on a regular laptop.</w:t>
      </w:r>
    </w:p>
    <w:p>
      <w:pPr>
        <w:pBdr>
          <w:bottom w:val="single" w:color="2E75B6" w:sz="4" w:space="8"/>
        </w:pBdr>
        <w:spacing w:before="200" w:after="200"/>
      </w:pPr>
    </w:p>
    <w:p>
      <w:pPr>
        <w:pStyle w:val="Heading1"/>
      </w:pPr>
      <w:r>
        <w:t xml:space="preserve">6. State PERB Data (Original Contribution)</w:t>
      </w:r>
    </w:p>
    <w:p>
      <w:pPr>
        <w:pStyle w:val="Heading3"/>
      </w:pPr>
      <w:r>
        <w:t xml:space="preserve">What it is</w:t>
      </w:r>
    </w:p>
    <w:p>
      <w:pPr>
        <w:spacing w:after="180"/>
      </w:pPr>
      <w:r>
        <w:rPr>
          <w:rFonts w:ascii="Arial" w:cs="Arial" w:eastAsia="Arial" w:hAnsi="Arial"/>
          <w:color w:val="333333"/>
          <w:sz w:val="22"/>
          <w:szCs w:val="22"/>
        </w:rPr>
        <w:t xml:space="preserve">PERB stands for Public Employment Relations Board. Most states have one (sometimes called something slightly different), and they oversee labor relations for state and local government workers — teachers, police, firefighters, sanitation workers, municipal employees. These agencies maintain records of representation cases, union certifications, and sometimes contract filings. But no one has ever built a tool that collects this data from across multiple states into one searchable database.</w:t>
      </w:r>
    </w:p>
    <w:p>
      <w:pPr>
        <w:pStyle w:val="Heading3"/>
      </w:pPr>
      <w:r>
        <w:t xml:space="preserve">Why it matters</w:t>
      </w:r>
    </w:p>
    <w:p>
      <w:pPr>
        <w:spacing w:after="180"/>
      </w:pPr>
      <w:r>
        <w:rPr>
          <w:rFonts w:ascii="Arial" w:cs="Arial" w:eastAsia="Arial" w:hAnsi="Arial"/>
          <w:color w:val="333333"/>
          <w:sz w:val="22"/>
          <w:szCs w:val="22"/>
        </w:rPr>
        <w:t xml:space="preserve">Federal labor data has a big blind spot: public-sector workers. The Department of Labor’s OLMS system primarily tracks private-sector and federal employee unions. State and local government workers — who make up a huge share of union membership in the United States — fall under state jurisdiction. Without PERB data, the platform is essentially invisible to thousands of public-sector employers and the unions that represent their workers.</w:t>
      </w:r>
    </w:p>
    <w:p>
      <w:pPr>
        <w:pStyle w:val="Heading3"/>
      </w:pPr>
      <w:r>
        <w:t xml:space="preserve">The opportunity</w:t>
      </w:r>
    </w:p>
    <w:p>
      <w:pPr>
        <w:spacing w:after="180"/>
      </w:pPr>
      <w:r>
        <w:rPr>
          <w:rFonts w:ascii="Arial" w:cs="Arial" w:eastAsia="Arial" w:hAnsi="Arial"/>
          <w:color w:val="333333"/>
          <w:sz w:val="22"/>
          <w:szCs w:val="22"/>
        </w:rPr>
        <w:t xml:space="preserve">No open-source tool exists for scraping state PERB data. Building scrapers for NY PERB, CA PERB, and IL ILRB would be a first-of-its-kind resource. Each state has a different format and access method, and some will require public records requests (FOIL in New York, Public Records Act in California). The work is labor-intensive but the result would be one of the platform’s biggest differentiators — data that literally no one else has compiled.</w:t>
      </w:r>
    </w:p>
    <w:p>
      <w:pPr>
        <w:pBdr>
          <w:bottom w:val="single" w:color="2E75B6" w:sz="4" w:space="8"/>
        </w:pBdr>
        <w:spacing w:before="200" w:after="200"/>
      </w:pPr>
    </w:p>
    <w:p>
      <w:pPr>
        <w:pStyle w:val="Heading1"/>
      </w:pPr>
      <w:r>
        <w:t xml:space="preserve">7. "Union-Lost" Historical Analysis</w:t>
      </w:r>
    </w:p>
    <w:p>
      <w:pPr>
        <w:pStyle w:val="Heading3"/>
      </w:pPr>
      <w:r>
        <w:t xml:space="preserve">What it is</w:t>
      </w:r>
    </w:p>
    <w:p>
      <w:pPr>
        <w:spacing w:after="180"/>
      </w:pPr>
      <w:r>
        <w:rPr>
          <w:rFonts w:ascii="Arial" w:cs="Arial" w:eastAsia="Arial" w:hAnsi="Arial"/>
          <w:color w:val="333333"/>
          <w:sz w:val="22"/>
          <w:szCs w:val="22"/>
        </w:rPr>
        <w:t xml:space="preserve">The platform already contains 52,760 historical employer records — workplaces that once had union contracts but no longer do. Matching these against OSHA violations, wage theft records, and NLRB activity could answer questions like: “Which employers decertified their union? What happened to working conditions after the union left? Did OSHA violations go up? Did wage theft increase?”</w:t>
      </w:r>
    </w:p>
    <w:p>
      <w:pPr>
        <w:pStyle w:val="Heading3"/>
      </w:pPr>
      <w:r>
        <w:t xml:space="preserve">Why it matters</w:t>
      </w:r>
    </w:p>
    <w:p>
      <w:pPr>
        <w:spacing w:after="180"/>
      </w:pPr>
      <w:r>
        <w:rPr>
          <w:rFonts w:ascii="Arial" w:cs="Arial" w:eastAsia="Arial" w:hAnsi="Arial"/>
          <w:color w:val="333333"/>
          <w:sz w:val="22"/>
          <w:szCs w:val="22"/>
        </w:rPr>
        <w:t xml:space="preserve">This is research-grade analysis that serves two purposes. For organizers, it provides ammunition: “Look what happened at Company X after workers lost their union — safety violations tripled.” For academic partners and advocacy, it contributes to the broader evidence base about the effects of unionization on workplace conditions. This kind of before-and-after analysis using linked administrative data is exactly what labor economists study, and the platform is uniquely positioned to do it because it has both the historical records and the cross-database matching infrastructure.</w:t>
      </w:r>
    </w:p>
    <w:p>
      <w:pPr>
        <w:pBdr>
          <w:bottom w:val="single" w:color="2E75B6" w:sz="4" w:space="8"/>
        </w:pBdr>
        <w:spacing w:before="200" w:after="200"/>
      </w:pPr>
    </w:p>
    <w:p>
      <w:pPr>
        <w:pStyle w:val="Heading1"/>
      </w:pPr>
      <w:r>
        <w:t xml:space="preserve">8. Occupation-Based Similarity</w:t>
      </w:r>
    </w:p>
    <w:p>
      <w:pPr>
        <w:pStyle w:val="Heading3"/>
      </w:pPr>
      <w:r>
        <w:t xml:space="preserve">What it is</w:t>
      </w:r>
    </w:p>
    <w:p>
      <w:pPr>
        <w:spacing w:after="180"/>
      </w:pPr>
      <w:r>
        <w:rPr>
          <w:rFonts w:ascii="Arial" w:cs="Arial" w:eastAsia="Arial" w:hAnsi="Arial"/>
          <w:color w:val="333333"/>
          <w:sz w:val="22"/>
          <w:szCs w:val="22"/>
        </w:rPr>
        <w:t xml:space="preserve">Instead of comparing employers only by their industry code (NAICS), compare them by the types of workers they actually employ. The Bureau of Labor Statistics publishes data showing what occupations exist in each industry. Two employers with different industry codes but similar worker mixes — lots of warehouse workers, lots of truck drivers — are highly comparable for organizing purposes even if one is classified as “retail” and the other as “transportation.”</w:t>
      </w:r>
    </w:p>
    <w:p>
      <w:pPr>
        <w:pStyle w:val="Heading3"/>
      </w:pPr>
      <w:r>
        <w:t xml:space="preserve">How it works (simply)</w:t>
      </w:r>
    </w:p>
    <w:p>
      <w:pPr>
        <w:spacing w:after="180"/>
      </w:pPr>
      <w:r>
        <w:rPr>
          <w:rFonts w:ascii="Arial" w:cs="Arial" w:eastAsia="Arial" w:hAnsi="Arial"/>
          <w:color w:val="333333"/>
          <w:sz w:val="22"/>
          <w:szCs w:val="22"/>
        </w:rPr>
        <w:t xml:space="preserve">Think of each employer as having a “fingerprint” based on the types of workers it employs. A hospital’s fingerprint might be 30% nurses, 15% aides, 10% administrative, 5% maintenance, and so on. A nursing home has a different mix but a lot of overlap. The math compares these fingerprints and produces a similarity score. This captures something that industry codes completely miss: a call center and a hospital billing office employ very similar workforces even though their NAICS codes are totally different.</w:t>
      </w:r>
    </w:p>
    <w:p>
      <w:pPr>
        <w:pStyle w:val="Heading3"/>
      </w:pPr>
      <w:r>
        <w:t xml:space="preserve">What it takes</w:t>
      </w:r>
    </w:p>
    <w:p>
      <w:pPr>
        <w:spacing w:after="180"/>
      </w:pPr>
      <w:r>
        <w:rPr>
          <w:rFonts w:ascii="Arial" w:cs="Arial" w:eastAsia="Arial" w:hAnsi="Arial"/>
          <w:color w:val="333333"/>
          <w:sz w:val="22"/>
          <w:szCs w:val="22"/>
        </w:rPr>
        <w:t xml:space="preserve">The BLS OEWS (Occupational Employment and Wage Statistics) program publishes this cross-tabulation data freely. The math involved is called “cosine similarity” on occupation vectors — a standard technique that Python handles in a few lines of code. The main work is loading the BLS staffing pattern data and linking it to the employer records through their NAICS codes.</w:t>
      </w:r>
    </w:p>
    <w:p>
      <w:pPr>
        <w:pBdr>
          <w:bottom w:val="single" w:color="2E75B6" w:sz="4" w:space="8"/>
        </w:pBdr>
        <w:spacing w:before="200" w:after="200"/>
      </w:pPr>
    </w:p>
    <w:p>
      <w:pPr>
        <w:pStyle w:val="Heading1"/>
      </w:pPr>
      <w:r>
        <w:t xml:space="preserve">9. Additional Future Projects</w:t>
      </w:r>
    </w:p>
    <w:p>
      <w:pPr>
        <w:pStyle w:val="Heading2"/>
      </w:pPr>
      <w:r>
        <w:t xml:space="preserve">Contract Expiration Alerts</w:t>
      </w:r>
    </w:p>
    <w:p>
      <w:pPr>
        <w:spacing w:after="180"/>
      </w:pPr>
      <w:r>
        <w:rPr>
          <w:rFonts w:ascii="Arial" w:cs="Arial" w:eastAsia="Arial" w:hAnsi="Arial"/>
          <w:color w:val="333333"/>
          <w:sz w:val="22"/>
          <w:szCs w:val="22"/>
        </w:rPr>
        <w:t xml:space="preserve">Automatic email notifications when contracts in a user’s territory are expiring in the next 3, 6, or 12 months. Contract expiration is one of the most important triggers for organizing activity — it’s when workers are most engaged with labor issues and when rival unions might make moves. This requires the FMCS data (already integrated), user accounts, and a basic email service like SendGrid (free tier available).</w:t>
      </w:r>
    </w:p>
    <w:p>
      <w:pPr>
        <w:pStyle w:val="Heading2"/>
      </w:pPr>
      <w:r>
        <w:t xml:space="preserve">CPS Microdata for Granular Density</w:t>
      </w:r>
    </w:p>
    <w:p>
      <w:pPr>
        <w:spacing w:after="180"/>
      </w:pPr>
      <w:r>
        <w:rPr>
          <w:rFonts w:ascii="Arial" w:cs="Arial" w:eastAsia="Arial" w:hAnsi="Arial"/>
          <w:color w:val="333333"/>
          <w:sz w:val="22"/>
          <w:szCs w:val="22"/>
        </w:rPr>
        <w:t xml:space="preserve">Right now, BLS only publishes union density at about 50 broad industry categories. The raw survey data (called CPS microdata, available through IPUMS) allows custom cross-tabulations at any level — union density for healthcare workers in Ohio, or for manufacturing workers in the Chicago metro area. This is the difference between knowing “11% of healthcare workers nationally are in unions” and knowing “23% of healthcare workers in your specific region are in unions.”</w:t>
      </w:r>
    </w:p>
    <w:p>
      <w:pPr>
        <w:pStyle w:val="Heading2"/>
      </w:pPr>
      <w:r>
        <w:t xml:space="preserve">Text-Based Employer Embeddings</w:t>
      </w:r>
    </w:p>
    <w:p>
      <w:pPr>
        <w:spacing w:after="180"/>
      </w:pPr>
      <w:r>
        <w:rPr>
          <w:rFonts w:ascii="Arial" w:cs="Arial" w:eastAsia="Arial" w:hAnsi="Arial"/>
          <w:color w:val="333333"/>
          <w:sz w:val="22"/>
          <w:szCs w:val="22"/>
        </w:rPr>
        <w:t xml:space="preserve">An AI technique where company descriptions (from websites, job postings, or LinkedIn profiles) get converted into mathematical “fingerprints.” Companies with similar descriptions end up with similar fingerprints. Research shows this outperforms traditional industry codes for identifying comparable businesses. A hospital and an ambulatory care center might have different NAICS codes but their descriptions would reveal they’re functionally very similar workplaces. This requires company description data from web scraping.</w:t>
      </w:r>
    </w:p>
    <w:p>
      <w:pPr>
        <w:pStyle w:val="Heading2"/>
      </w:pPr>
      <w:r>
        <w:t xml:space="preserve">Multi-Tenant Union Workspaces</w:t>
      </w:r>
    </w:p>
    <w:p>
      <w:pPr>
        <w:spacing w:after="180"/>
      </w:pPr>
      <w:r>
        <w:rPr>
          <w:rFonts w:ascii="Arial" w:cs="Arial" w:eastAsia="Arial" w:hAnsi="Arial"/>
          <w:color w:val="333333"/>
          <w:sz w:val="22"/>
          <w:szCs w:val="22"/>
        </w:rPr>
        <w:t xml:space="preserve">Each union organization gets their own view of the platform showing only their territory, their employers, and their targets. Union A can’t see Union B’s internal notes or priority rankings. This transforms the platform from a research tool into a collaborative workspace for organizing teams.</w:t>
      </w:r>
    </w:p>
    <w:p>
      <w:pPr>
        <w:pStyle w:val="Heading2"/>
      </w:pPr>
      <w:r>
        <w:t xml:space="preserve">Campaign Tracking</w:t>
      </w:r>
    </w:p>
    <w:p>
      <w:pPr>
        <w:spacing w:after="180"/>
      </w:pPr>
      <w:r>
        <w:rPr>
          <w:rFonts w:ascii="Arial" w:cs="Arial" w:eastAsia="Arial" w:hAnsi="Arial"/>
          <w:color w:val="333333"/>
          <w:sz w:val="22"/>
          <w:szCs w:val="22"/>
        </w:rPr>
        <w:t xml:space="preserve">Let organizers mark employers as “active campaign” and track stages from research to outreach to petition to election to contract. Over time, this builds a proprietary dataset of organizing outcomes that feeds back into the scoring model — the platform learns from real-world results which types of targets lead to successful campaigns.</w:t>
      </w:r>
    </w:p>
    <w:p>
      <w:pPr>
        <w:pStyle w:val="Heading2"/>
      </w:pPr>
      <w:r>
        <w:t xml:space="preserve">News &amp; Media Monitoring</w:t>
      </w:r>
    </w:p>
    <w:p>
      <w:pPr>
        <w:spacing w:after="180"/>
      </w:pPr>
      <w:r>
        <w:rPr>
          <w:rFonts w:ascii="Arial" w:cs="Arial" w:eastAsia="Arial" w:hAnsi="Arial"/>
          <w:color w:val="333333"/>
          <w:sz w:val="22"/>
          <w:szCs w:val="22"/>
        </w:rPr>
        <w:t xml:space="preserve">Automatically scan news for labor-related stories — strikes, organizing drives, employer controversies — and link them to employers in the database. This could use a news API ($449/month for full access) or free Google News RSS feeds (slower, less reliable). AI would extract employer names from articles and match them to database records.</w:t>
      </w:r>
    </w:p>
    <w:p>
      <w:pPr>
        <w:pStyle w:val="Heading2"/>
      </w:pPr>
      <w:r>
        <w:t xml:space="preserve">Board Report Generation</w:t>
      </w:r>
    </w:p>
    <w:p>
      <w:pPr>
        <w:spacing w:after="180"/>
      </w:pPr>
      <w:r>
        <w:rPr>
          <w:rFonts w:ascii="Arial" w:cs="Arial" w:eastAsia="Arial" w:hAnsi="Arial"/>
          <w:color w:val="333333"/>
          <w:sz w:val="22"/>
          <w:szCs w:val="22"/>
        </w:rPr>
        <w:t xml:space="preserve">One-click PDF or spreadsheet exports designed for union board presentations: territory overview, top targets with supporting evidence, trend charts, and data freshness statements. This is a “last mile” feature that makes the platform useful for the actual meetings where organizing decisions get made.</w:t>
      </w:r>
    </w:p>
    <w:p>
      <w:pPr>
        <w:pStyle w:val="Heading2"/>
      </w:pPr>
      <w:r>
        <w:t xml:space="preserve">5-Area Frontend Expansion</w:t>
      </w:r>
    </w:p>
    <w:p>
      <w:pPr>
        <w:spacing w:after="180"/>
      </w:pPr>
      <w:r>
        <w:rPr>
          <w:rFonts w:ascii="Arial" w:cs="Arial" w:eastAsia="Arial" w:hAnsi="Arial"/>
          <w:color w:val="333333"/>
          <w:sz w:val="22"/>
          <w:szCs w:val="22"/>
        </w:rPr>
        <w:t xml:space="preserve">When the platform is mature enough, expand from the initial 4-screen structure to a 5-area layout: Dashboard (quick snapshot), My Territory (union-specific coverage map), Employer Research (detail and corporate family), Organizing Targets (scorecard, comparables, and evidence), and Data Explorer (density, trends, elections, analytics). The initial frontend architecture was designed to allow this expansion without rebuilding navigation.</w:t>
      </w:r>
    </w:p>
    <w:p>
      <w:pPr>
        <w:pBdr>
          <w:bottom w:val="single" w:color="2E75B6" w:sz="4" w:space="8"/>
        </w:pBdr>
        <w:spacing w:before="200" w:after="200"/>
      </w:pPr>
    </w:p>
    <w:p>
      <w:pPr>
        <w:pStyle w:val="Heading1"/>
      </w:pPr>
      <w:r>
        <w:t xml:space="preserve">10. Open Source Tools That Power These Projects</w:t>
      </w:r>
    </w:p>
    <w:p>
      <w:pPr>
        <w:spacing w:after="180"/>
      </w:pPr>
      <w:r>
        <w:rPr>
          <w:rFonts w:ascii="Arial" w:cs="Arial" w:eastAsia="Arial" w:hAnsi="Arial"/>
          <w:color w:val="333333"/>
          <w:sz w:val="22"/>
          <w:szCs w:val="22"/>
        </w:rPr>
        <w:t xml:space="preserve">One of the most important findings from research is that most of the technical building blocks for these projects already exist as free, open-source software. Here are the most important ones: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 for This Platform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labordata (GitHub org)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27 repos covering NLRB, OSHA, WHD, OLMS, FMCS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Already aggregates 40.5 million rows of labor data into a unified warehouse. Many repos build PostgreSQL databases directly.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edgartools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SEC EDGAR parsing (1,400 stars)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Extracts employee counts, financial data, XBRL tags, and subsidiary lists. Has a built-in AI integration. 24 releases in 60 days.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Splink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Probabilistic record matching (1,800 stars)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Links a million records in ~1 minute on a laptop. Native PostgreSQL support. Built by UK Ministry of Justice, used by Australia’s stats agency.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Crawl4AI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scraping for AI pipelines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Already in use on the platform. Handles JavaScript-rendered pages and converts web content to AI-friendly formats.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LangExtract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AI-powered structured extraction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Purpose-built for pulling structured data from long documents (like contracts). Links every extraction back to its source location.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Firecrawl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Website-to-JSON extraction (81K stars)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Visits a company website and returns structured data matching a schema you define. 87–94% accuracy on company profiles.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Docling (IBM)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 parsing, 97.9% table accuracy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Handles PDFs, DOCX, HTML through one interface. Critical for extracting wage tables from contracts.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IRSx / 990-xml-reader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IRS Form 990 parser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Converts nonprofit tax filings into database records. Extracts employee counts, executive compensation, and organization 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RapidFuzz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 string matching (3,700 stars)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Compares employer names 10–100x faster than alternatives. Essential for matching “WALMART INC” to “Wal-Mart Stores, Inc.”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pgvector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Vector search in PostgreSQL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Enables semantic search (“find contracts with similar language”) without adding a separate search server.</w:t>
            </w:r>
          </w:p>
        </w:tc>
      </w:tr>
    </w:tbl>
    <w:p>
      <w:pPr>
        <w:spacing w:after="60"/>
      </w:pPr>
    </w:p>
    <w:p>
      <w:pPr>
        <w:spacing w:after="180"/>
      </w:pPr>
      <w:r>
        <w:rPr>
          <w:rFonts w:ascii="Arial" w:cs="Arial" w:eastAsia="Arial" w:hAnsi="Arial"/>
          <w:color w:val="333333"/>
          <w:sz w:val="22"/>
          <w:szCs w:val="22"/>
        </w:rPr>
        <w:t xml:space="preserve">The only significant gap in the open-source ecosystem: no projects exist for state PERB data. Building scrapers for NY PERB, CA PERB, and IL ILRB would be an original contribution.</w:t>
      </w:r>
    </w:p>
    <w:p>
      <w:r>
        <w:br w:type="page"/>
      </w:r>
    </w:p>
    <w:p>
      <w:pPr>
        <w:pStyle w:val="Heading1"/>
      </w:pPr>
      <w:r>
        <w:t xml:space="preserve">11. Suggested Sequencing</w:t>
      </w:r>
    </w:p>
    <w:p>
      <w:pPr>
        <w:spacing w:after="180"/>
      </w:pPr>
      <w:r>
        <w:rPr>
          <w:rFonts w:ascii="Arial" w:cs="Arial" w:eastAsia="Arial" w:hAnsi="Arial"/>
          <w:color w:val="333333"/>
          <w:sz w:val="22"/>
          <w:szCs w:val="22"/>
        </w:rPr>
        <w:t xml:space="preserve">Not all of these projects are equal. Some unlock other projects, some provide immediate value, and some are aspirational long-term goals. Here’s a suggested order based on how much each project helps organizers and what it enables next:</w:t>
      </w:r>
    </w:p>
    <w:p>
      <w:pPr>
        <w:spacing w:after="60"/>
      </w:pPr>
    </w:p>
    <w:p>
      <w:pPr>
        <w:pStyle w:val="Heading2"/>
      </w:pPr>
      <w:r>
        <w:t xml:space="preserve">Wave 1: Foundation (First 1–3 months post-launch)</w:t>
      </w:r>
    </w:p>
    <w:p>
      <w:pPr>
        <w:spacing w:after="180"/>
      </w:pPr>
      <w:r>
        <w:rPr>
          <w:rFonts w:ascii="Arial" w:cs="Arial" w:eastAsia="Arial" w:hAnsi="Arial"/>
          <w:color w:val="333333"/>
          <w:sz w:val="22"/>
          <w:szCs w:val="22"/>
        </w:rPr>
        <w:t xml:space="preserve">These either have existing groundwork or provide immediate value:</w:t>
      </w:r>
    </w:p>
    <w:p>
      <w:pPr>
        <w:pStyle w:val="ListParagraph"/>
        <w:numPr>
          <w:ilvl w:val="0"/>
          <w:numId w:val="4"/>
        </w:numPr>
        <w:spacing w:after="80"/>
      </w:pPr>
      <w:r>
        <w:rPr>
          <w:rFonts w:ascii="Arial" w:cs="Arial" w:eastAsia="Arial" w:hAnsi="Arial"/>
          <w:b/>
          <w:bCs/>
          <w:color w:val="333333"/>
          <w:sz w:val="22"/>
          <w:szCs w:val="22"/>
        </w:rPr>
        <w:t xml:space="preserve">Web Scraper (Union Sites) — </w:t>
      </w:r>
      <w:r>
        <w:rPr>
          <w:rFonts w:ascii="Arial" w:cs="Arial" w:eastAsia="Arial" w:hAnsi="Arial"/>
          <w:color w:val="333333"/>
          <w:sz w:val="22"/>
          <w:szCs w:val="22"/>
        </w:rPr>
        <w:t xml:space="preserve">AFSCME prototype already works. Expanding it fills the public-sector data gap that’s the platform’s biggest blind spot.</w:t>
      </w:r>
    </w:p>
    <w:p>
      <w:pPr>
        <w:pStyle w:val="ListParagraph"/>
        <w:numPr>
          <w:ilvl w:val="0"/>
          <w:numId w:val="4"/>
        </w:numPr>
        <w:spacing w:after="80"/>
      </w:pPr>
      <w:r>
        <w:rPr>
          <w:rFonts w:ascii="Arial" w:cs="Arial" w:eastAsia="Arial" w:hAnsi="Arial"/>
          <w:b/>
          <w:bCs/>
          <w:color w:val="333333"/>
          <w:sz w:val="22"/>
          <w:szCs w:val="22"/>
        </w:rPr>
        <w:t xml:space="preserve">SEC EDGAR Integration — </w:t>
      </w:r>
      <w:r>
        <w:rPr>
          <w:rFonts w:ascii="Arial" w:cs="Arial" w:eastAsia="Arial" w:hAnsi="Arial"/>
          <w:color w:val="333333"/>
          <w:sz w:val="22"/>
          <w:szCs w:val="22"/>
        </w:rPr>
        <w:t xml:space="preserve">The EIN matching makes this low-friction. Reveals corporate hierarchies behind seemingly independent employers.</w:t>
      </w:r>
    </w:p>
    <w:p>
      <w:pPr>
        <w:pStyle w:val="ListParagraph"/>
        <w:numPr>
          <w:ilvl w:val="0"/>
          <w:numId w:val="4"/>
        </w:numPr>
        <w:spacing w:after="80"/>
      </w:pPr>
      <w:r>
        <w:rPr>
          <w:rFonts w:ascii="Arial" w:cs="Arial" w:eastAsia="Arial" w:hAnsi="Arial"/>
          <w:b/>
          <w:bCs/>
          <w:color w:val="333333"/>
          <w:sz w:val="22"/>
          <w:szCs w:val="22"/>
        </w:rPr>
        <w:t xml:space="preserve">Contract Expiration Alerts — </w:t>
      </w:r>
      <w:r>
        <w:rPr>
          <w:rFonts w:ascii="Arial" w:cs="Arial" w:eastAsia="Arial" w:hAnsi="Arial"/>
          <w:color w:val="333333"/>
          <w:sz w:val="22"/>
          <w:szCs w:val="22"/>
        </w:rPr>
        <w:t xml:space="preserve">Small feature, big impact. Uses data already in the system.</w:t>
      </w:r>
    </w:p>
    <w:p>
      <w:pPr>
        <w:pStyle w:val="Heading2"/>
      </w:pPr>
      <w:r>
        <w:t xml:space="preserve">Wave 2: Intelligence (Months 3–6)</w:t>
      </w:r>
    </w:p>
    <w:p>
      <w:pPr>
        <w:spacing w:after="180"/>
      </w:pPr>
      <w:r>
        <w:rPr>
          <w:rFonts w:ascii="Arial" w:cs="Arial" w:eastAsia="Arial" w:hAnsi="Arial"/>
          <w:color w:val="333333"/>
          <w:sz w:val="22"/>
          <w:szCs w:val="22"/>
        </w:rPr>
        <w:t xml:space="preserve">These deepen analytical power:</w:t>
      </w:r>
    </w:p>
    <w:p>
      <w:pPr>
        <w:pStyle w:val="ListParagraph"/>
        <w:numPr>
          <w:ilvl w:val="0"/>
          <w:numId w:val="5"/>
        </w:numPr>
        <w:spacing w:after="80"/>
      </w:pPr>
      <w:r>
        <w:rPr>
          <w:rFonts w:ascii="Arial" w:cs="Arial" w:eastAsia="Arial" w:hAnsi="Arial"/>
          <w:b/>
          <w:bCs/>
          <w:color w:val="333333"/>
          <w:sz w:val="22"/>
          <w:szCs w:val="22"/>
        </w:rPr>
        <w:t xml:space="preserve">Gower Similarity Engine — </w:t>
      </w:r>
      <w:r>
        <w:rPr>
          <w:rFonts w:ascii="Arial" w:cs="Arial" w:eastAsia="Arial" w:hAnsi="Arial"/>
          <w:color w:val="333333"/>
          <w:sz w:val="22"/>
          <w:szCs w:val="22"/>
        </w:rPr>
        <w:t xml:space="preserve">One Python library, existing data. Transforms how organizers see employer relationships.</w:t>
      </w:r>
    </w:p>
    <w:p>
      <w:pPr>
        <w:pStyle w:val="ListParagraph"/>
        <w:numPr>
          <w:ilvl w:val="0"/>
          <w:numId w:val="5"/>
        </w:numPr>
        <w:spacing w:after="80"/>
      </w:pPr>
      <w:r>
        <w:rPr>
          <w:rFonts w:ascii="Arial" w:cs="Arial" w:eastAsia="Arial" w:hAnsi="Arial"/>
          <w:b/>
          <w:bCs/>
          <w:color w:val="333333"/>
          <w:sz w:val="22"/>
          <w:szCs w:val="22"/>
        </w:rPr>
        <w:t xml:space="preserve">Web Scraper (Employer Sites) — </w:t>
      </w:r>
      <w:r>
        <w:rPr>
          <w:rFonts w:ascii="Arial" w:cs="Arial" w:eastAsia="Arial" w:hAnsi="Arial"/>
          <w:color w:val="333333"/>
          <w:sz w:val="22"/>
          <w:szCs w:val="22"/>
        </w:rPr>
        <w:t xml:space="preserve">Fills the “what does this company actually do” gap.</w:t>
      </w:r>
    </w:p>
    <w:p>
      <w:pPr>
        <w:pStyle w:val="ListParagraph"/>
        <w:numPr>
          <w:ilvl w:val="0"/>
          <w:numId w:val="5"/>
        </w:numPr>
        <w:spacing w:after="80"/>
      </w:pPr>
      <w:r>
        <w:rPr>
          <w:rFonts w:ascii="Arial" w:cs="Arial" w:eastAsia="Arial" w:hAnsi="Arial"/>
          <w:b/>
          <w:bCs/>
          <w:color w:val="333333"/>
          <w:sz w:val="22"/>
          <w:szCs w:val="22"/>
        </w:rPr>
        <w:t xml:space="preserve">Entity Resolution Upgrade (Splink) — </w:t>
      </w:r>
      <w:r>
        <w:rPr>
          <w:rFonts w:ascii="Arial" w:cs="Arial" w:eastAsia="Arial" w:hAnsi="Arial"/>
          <w:color w:val="333333"/>
          <w:sz w:val="22"/>
          <w:szCs w:val="22"/>
        </w:rPr>
        <w:t xml:space="preserve">Pushes match rates higher, which makes everything else more accurate.</w:t>
      </w:r>
    </w:p>
    <w:p>
      <w:pPr>
        <w:pStyle w:val="ListParagraph"/>
        <w:numPr>
          <w:ilvl w:val="0"/>
          <w:numId w:val="5"/>
        </w:numPr>
        <w:spacing w:after="80"/>
      </w:pPr>
      <w:r>
        <w:rPr>
          <w:rFonts w:ascii="Arial" w:cs="Arial" w:eastAsia="Arial" w:hAnsi="Arial"/>
          <w:b/>
          <w:bCs/>
          <w:color w:val="333333"/>
          <w:sz w:val="22"/>
          <w:szCs w:val="22"/>
        </w:rPr>
        <w:t xml:space="preserve">State PERB Data — </w:t>
      </w:r>
      <w:r>
        <w:rPr>
          <w:rFonts w:ascii="Arial" w:cs="Arial" w:eastAsia="Arial" w:hAnsi="Arial"/>
          <w:color w:val="333333"/>
          <w:sz w:val="22"/>
          <w:szCs w:val="22"/>
        </w:rPr>
        <w:t xml:space="preserve">Start with FOIA/FOIL requests early (they take time). Build scrapers as data arrives.</w:t>
      </w:r>
    </w:p>
    <w:p>
      <w:pPr>
        <w:pStyle w:val="Heading2"/>
      </w:pPr>
      <w:r>
        <w:t xml:space="preserve">Wave 3: Advanced (Months 6–12)</w:t>
      </w:r>
    </w:p>
    <w:p>
      <w:pPr>
        <w:spacing w:after="180"/>
      </w:pPr>
      <w:r>
        <w:rPr>
          <w:rFonts w:ascii="Arial" w:cs="Arial" w:eastAsia="Arial" w:hAnsi="Arial"/>
          <w:color w:val="333333"/>
          <w:sz w:val="22"/>
          <w:szCs w:val="22"/>
        </w:rPr>
        <w:t xml:space="preserve">These require more data and infrastructure:</w:t>
      </w:r>
    </w:p>
    <w:p>
      <w:pPr>
        <w:pStyle w:val="ListParagraph"/>
        <w:numPr>
          <w:ilvl w:val="0"/>
          <w:numId w:val="6"/>
        </w:numPr>
        <w:spacing w:after="80"/>
      </w:pPr>
      <w:r>
        <w:rPr>
          <w:rFonts w:ascii="Arial" w:cs="Arial" w:eastAsia="Arial" w:hAnsi="Arial"/>
          <w:b/>
          <w:bCs/>
          <w:color w:val="333333"/>
          <w:sz w:val="22"/>
          <w:szCs w:val="22"/>
        </w:rPr>
        <w:t xml:space="preserve">Propensity Scoring Model — </w:t>
      </w:r>
      <w:r>
        <w:rPr>
          <w:rFonts w:ascii="Arial" w:cs="Arial" w:eastAsia="Arial" w:hAnsi="Arial"/>
          <w:color w:val="333333"/>
          <w:sz w:val="22"/>
          <w:szCs w:val="22"/>
        </w:rPr>
        <w:t xml:space="preserve">Needs better match rates and non-union employer reference data from Waves 1–2.</w:t>
      </w:r>
    </w:p>
    <w:p>
      <w:pPr>
        <w:pStyle w:val="ListParagraph"/>
        <w:numPr>
          <w:ilvl w:val="0"/>
          <w:numId w:val="6"/>
        </w:numPr>
        <w:spacing w:after="80"/>
      </w:pPr>
      <w:r>
        <w:rPr>
          <w:rFonts w:ascii="Arial" w:cs="Arial" w:eastAsia="Arial" w:hAnsi="Arial"/>
          <w:b/>
          <w:bCs/>
          <w:color w:val="333333"/>
          <w:sz w:val="22"/>
          <w:szCs w:val="22"/>
        </w:rPr>
        <w:t xml:space="preserve">Union Contract Database — </w:t>
      </w:r>
      <w:r>
        <w:rPr>
          <w:rFonts w:ascii="Arial" w:cs="Arial" w:eastAsia="Arial" w:hAnsi="Arial"/>
          <w:color w:val="333333"/>
          <w:sz w:val="22"/>
          <w:szCs w:val="22"/>
        </w:rPr>
        <w:t xml:space="preserve">Major project. Start ingestion in Wave 2, scale extraction in Wave 3.</w:t>
      </w:r>
    </w:p>
    <w:p>
      <w:pPr>
        <w:pStyle w:val="ListParagraph"/>
        <w:numPr>
          <w:ilvl w:val="0"/>
          <w:numId w:val="6"/>
        </w:numPr>
        <w:spacing w:after="80"/>
      </w:pPr>
      <w:r>
        <w:rPr>
          <w:rFonts w:ascii="Arial" w:cs="Arial" w:eastAsia="Arial" w:hAnsi="Arial"/>
          <w:b/>
          <w:bCs/>
          <w:color w:val="333333"/>
          <w:sz w:val="22"/>
          <w:szCs w:val="22"/>
        </w:rPr>
        <w:t xml:space="preserve">Prevailing Wage Intelligence — </w:t>
      </w:r>
      <w:r>
        <w:rPr>
          <w:rFonts w:ascii="Arial" w:cs="Arial" w:eastAsia="Arial" w:hAnsi="Arial"/>
          <w:color w:val="333333"/>
          <w:sz w:val="22"/>
          <w:szCs w:val="22"/>
        </w:rPr>
        <w:t xml:space="preserve">Cross-referencing subsidy databases with the platform’s employer records.</w:t>
      </w:r>
    </w:p>
    <w:p>
      <w:pPr>
        <w:pStyle w:val="ListParagraph"/>
        <w:numPr>
          <w:ilvl w:val="0"/>
          <w:numId w:val="6"/>
        </w:numPr>
        <w:spacing w:after="80"/>
      </w:pPr>
      <w:r>
        <w:rPr>
          <w:rFonts w:ascii="Arial" w:cs="Arial" w:eastAsia="Arial" w:hAnsi="Arial"/>
          <w:b/>
          <w:bCs/>
          <w:color w:val="333333"/>
          <w:sz w:val="22"/>
          <w:szCs w:val="22"/>
        </w:rPr>
        <w:t xml:space="preserve">Union-Lost Analysis — </w:t>
      </w:r>
      <w:r>
        <w:rPr>
          <w:rFonts w:ascii="Arial" w:cs="Arial" w:eastAsia="Arial" w:hAnsi="Arial"/>
          <w:color w:val="333333"/>
          <w:sz w:val="22"/>
          <w:szCs w:val="22"/>
        </w:rPr>
        <w:t xml:space="preserve">Historical employer records + improved matching = before-and-after research.</w:t>
      </w:r>
    </w:p>
    <w:p>
      <w:pPr>
        <w:pStyle w:val="ListParagraph"/>
        <w:numPr>
          <w:ilvl w:val="0"/>
          <w:numId w:val="6"/>
        </w:numPr>
        <w:spacing w:after="80"/>
      </w:pPr>
      <w:r>
        <w:rPr>
          <w:rFonts w:ascii="Arial" w:cs="Arial" w:eastAsia="Arial" w:hAnsi="Arial"/>
          <w:b/>
          <w:bCs/>
          <w:color w:val="333333"/>
          <w:sz w:val="22"/>
          <w:szCs w:val="22"/>
        </w:rPr>
        <w:t xml:space="preserve">Occupation-Based Similarity — </w:t>
      </w:r>
      <w:r>
        <w:rPr>
          <w:rFonts w:ascii="Arial" w:cs="Arial" w:eastAsia="Arial" w:hAnsi="Arial"/>
          <w:color w:val="333333"/>
          <w:sz w:val="22"/>
          <w:szCs w:val="22"/>
        </w:rPr>
        <w:t xml:space="preserve">BLS data loading + straightforward math.</w:t>
      </w:r>
    </w:p>
    <w:p>
      <w:pPr>
        <w:pStyle w:val="Heading2"/>
      </w:pPr>
      <w:r>
        <w:t xml:space="preserve">Wave 4: Platform Maturity (Year 2+)</w:t>
      </w:r>
    </w:p>
    <w:p>
      <w:pPr>
        <w:spacing w:after="180"/>
      </w:pPr>
      <w:r>
        <w:rPr>
          <w:rFonts w:ascii="Arial" w:cs="Arial" w:eastAsia="Arial" w:hAnsi="Arial"/>
          <w:color w:val="333333"/>
          <w:sz w:val="22"/>
          <w:szCs w:val="22"/>
        </w:rPr>
        <w:t xml:space="preserve">These depend on having real users and feedback:</w:t>
      </w:r>
    </w:p>
    <w:p>
      <w:pPr>
        <w:pStyle w:val="ListParagraph"/>
        <w:numPr>
          <w:ilvl w:val="0"/>
          <w:numId w:val="7"/>
        </w:numPr>
        <w:spacing w:after="80"/>
      </w:pPr>
      <w:r>
        <w:rPr>
          <w:rFonts w:ascii="Arial" w:cs="Arial" w:eastAsia="Arial" w:hAnsi="Arial"/>
          <w:b/>
          <w:bCs/>
          <w:color w:val="333333"/>
          <w:sz w:val="22"/>
          <w:szCs w:val="22"/>
        </w:rPr>
        <w:t xml:space="preserve">Multi-Tenant Union Workspaces — </w:t>
      </w:r>
      <w:r>
        <w:rPr>
          <w:rFonts w:ascii="Arial" w:cs="Arial" w:eastAsia="Arial" w:hAnsi="Arial"/>
          <w:color w:val="333333"/>
          <w:sz w:val="22"/>
          <w:szCs w:val="22"/>
        </w:rPr>
        <w:t xml:space="preserve">Needs user accounts and real organizational partners.</w:t>
      </w:r>
    </w:p>
    <w:p>
      <w:pPr>
        <w:pStyle w:val="ListParagraph"/>
        <w:numPr>
          <w:ilvl w:val="0"/>
          <w:numId w:val="7"/>
        </w:numPr>
        <w:spacing w:after="80"/>
      </w:pPr>
      <w:r>
        <w:rPr>
          <w:rFonts w:ascii="Arial" w:cs="Arial" w:eastAsia="Arial" w:hAnsi="Arial"/>
          <w:b/>
          <w:bCs/>
          <w:color w:val="333333"/>
          <w:sz w:val="22"/>
          <w:szCs w:val="22"/>
        </w:rPr>
        <w:t xml:space="preserve">Campaign Tracking — </w:t>
      </w:r>
      <w:r>
        <w:rPr>
          <w:rFonts w:ascii="Arial" w:cs="Arial" w:eastAsia="Arial" w:hAnsi="Arial"/>
          <w:color w:val="333333"/>
          <w:sz w:val="22"/>
          <w:szCs w:val="22"/>
        </w:rPr>
        <w:t xml:space="preserve">Only valuable once organizers are actively using the platform.</w:t>
      </w:r>
    </w:p>
    <w:p>
      <w:pPr>
        <w:pStyle w:val="ListParagraph"/>
        <w:numPr>
          <w:ilvl w:val="0"/>
          <w:numId w:val="7"/>
        </w:numPr>
        <w:spacing w:after="80"/>
      </w:pPr>
      <w:r>
        <w:rPr>
          <w:rFonts w:ascii="Arial" w:cs="Arial" w:eastAsia="Arial" w:hAnsi="Arial"/>
          <w:b/>
          <w:bCs/>
          <w:color w:val="333333"/>
          <w:sz w:val="22"/>
          <w:szCs w:val="22"/>
        </w:rPr>
        <w:t xml:space="preserve">News &amp; Media Monitoring — </w:t>
      </w:r>
      <w:r>
        <w:rPr>
          <w:rFonts w:ascii="Arial" w:cs="Arial" w:eastAsia="Arial" w:hAnsi="Arial"/>
          <w:color w:val="333333"/>
          <w:sz w:val="22"/>
          <w:szCs w:val="22"/>
        </w:rPr>
        <w:t xml:space="preserve">Nice-to-have that benefits from a mature employer database.</w:t>
      </w:r>
    </w:p>
    <w:p>
      <w:pPr>
        <w:pStyle w:val="ListParagraph"/>
        <w:numPr>
          <w:ilvl w:val="0"/>
          <w:numId w:val="7"/>
        </w:numPr>
        <w:spacing w:after="80"/>
      </w:pPr>
      <w:r>
        <w:rPr>
          <w:rFonts w:ascii="Arial" w:cs="Arial" w:eastAsia="Arial" w:hAnsi="Arial"/>
          <w:b/>
          <w:bCs/>
          <w:color w:val="333333"/>
          <w:sz w:val="22"/>
          <w:szCs w:val="22"/>
        </w:rPr>
        <w:t xml:space="preserve">Text-Based Employer Embeddings — </w:t>
      </w:r>
      <w:r>
        <w:rPr>
          <w:rFonts w:ascii="Arial" w:cs="Arial" w:eastAsia="Arial" w:hAnsi="Arial"/>
          <w:color w:val="333333"/>
          <w:sz w:val="22"/>
          <w:szCs w:val="22"/>
        </w:rPr>
        <w:t xml:space="preserve">Requires company description data from web scraping.</w:t>
      </w:r>
    </w:p>
    <w:p>
      <w:pPr>
        <w:pStyle w:val="ListParagraph"/>
        <w:numPr>
          <w:ilvl w:val="0"/>
          <w:numId w:val="7"/>
        </w:numPr>
        <w:spacing w:after="80"/>
      </w:pPr>
      <w:r>
        <w:rPr>
          <w:rFonts w:ascii="Arial" w:cs="Arial" w:eastAsia="Arial" w:hAnsi="Arial"/>
          <w:b/>
          <w:bCs/>
          <w:color w:val="333333"/>
          <w:sz w:val="22"/>
          <w:szCs w:val="22"/>
        </w:rPr>
        <w:t xml:space="preserve">CPS Microdata — </w:t>
      </w:r>
      <w:r>
        <w:rPr>
          <w:rFonts w:ascii="Arial" w:cs="Arial" w:eastAsia="Arial" w:hAnsi="Arial"/>
          <w:color w:val="333333"/>
          <w:sz w:val="22"/>
          <w:szCs w:val="22"/>
        </w:rPr>
        <w:t xml:space="preserve">Enhances density calculations but current BLS data works for now.</w:t>
      </w:r>
    </w:p>
    <w:p>
      <w:pPr>
        <w:pStyle w:val="ListParagraph"/>
        <w:numPr>
          <w:ilvl w:val="0"/>
          <w:numId w:val="7"/>
        </w:numPr>
        <w:spacing w:after="80"/>
      </w:pPr>
      <w:r>
        <w:rPr>
          <w:rFonts w:ascii="Arial" w:cs="Arial" w:eastAsia="Arial" w:hAnsi="Arial"/>
          <w:b/>
          <w:bCs/>
          <w:color w:val="333333"/>
          <w:sz w:val="22"/>
          <w:szCs w:val="22"/>
        </w:rPr>
        <w:t xml:space="preserve">Board Report Generation — </w:t>
      </w:r>
      <w:r>
        <w:rPr>
          <w:rFonts w:ascii="Arial" w:cs="Arial" w:eastAsia="Arial" w:hAnsi="Arial"/>
          <w:color w:val="333333"/>
          <w:sz w:val="22"/>
          <w:szCs w:val="22"/>
        </w:rPr>
        <w:t xml:space="preserve">Needs the frontend and data to be stable before exports matter.</w:t>
      </w:r>
    </w:p>
    <w:p>
      <w:pPr>
        <w:pStyle w:val="ListParagraph"/>
        <w:numPr>
          <w:ilvl w:val="0"/>
          <w:numId w:val="7"/>
        </w:numPr>
        <w:spacing w:after="80"/>
      </w:pPr>
      <w:r>
        <w:rPr>
          <w:rFonts w:ascii="Arial" w:cs="Arial" w:eastAsia="Arial" w:hAnsi="Arial"/>
          <w:b/>
          <w:bCs/>
          <w:color w:val="333333"/>
          <w:sz w:val="22"/>
          <w:szCs w:val="22"/>
        </w:rPr>
        <w:t xml:space="preserve">5-Area Frontend Expansion — </w:t>
      </w:r>
      <w:r>
        <w:rPr>
          <w:rFonts w:ascii="Arial" w:cs="Arial" w:eastAsia="Arial" w:hAnsi="Arial"/>
          <w:color w:val="333333"/>
          <w:sz w:val="22"/>
          <w:szCs w:val="22"/>
        </w:rPr>
        <w:t xml:space="preserve">Architectural groundwork is done; expand when usage patterns are clear.</w:t>
      </w:r>
    </w:p>
    <w:p>
      <w:pPr>
        <w:pBdr>
          <w:bottom w:val="single" w:color="2E75B6" w:sz="4" w:space="8"/>
        </w:pBdr>
        <w:spacing w:before="200" w:after="200"/>
      </w:pPr>
    </w:p>
    <w:p>
      <w:pPr>
        <w:pStyle w:val="Heading1"/>
      </w:pPr>
      <w:r>
        <w:t xml:space="preserve">12. Key Principle: Build What Organizers Need, Not What’s Technically Interesting</w:t>
      </w:r>
    </w:p>
    <w:p>
      <w:pPr>
        <w:spacing w:after="180"/>
      </w:pPr>
      <w:r>
        <w:rPr>
          <w:rFonts w:ascii="Arial" w:cs="Arial" w:eastAsia="Arial" w:hAnsi="Arial"/>
          <w:color w:val="333333"/>
          <w:sz w:val="22"/>
          <w:szCs w:val="22"/>
        </w:rPr>
        <w:t xml:space="preserve">Every project in this document is technically feasible and intellectually interesting. But the platform succeeds only if it becomes something organizers reach for when making real decisions about where to invest their limited time and resources. The most important filter for deciding what to build next is simple: talk to people who would actually use it, and build the thing they ask for.</w:t>
      </w:r>
    </w:p>
    <w:p>
      <w:pPr>
        <w:spacing w:after="180"/>
      </w:pPr>
      <w:r>
        <w:rPr>
          <w:rFonts w:ascii="Arial" w:cs="Arial" w:eastAsia="Arial" w:hAnsi="Arial"/>
          <w:color w:val="333333"/>
          <w:sz w:val="22"/>
          <w:szCs w:val="22"/>
        </w:rPr>
        <w:t xml:space="preserve">The projects marked HIGH priority are the ones most likely to produce that “must-have” reaction — they fill visible gaps in the current data (public-sector employers, corporate hierarchies, subsidy connections) or transform how organizers evaluate targets (similarity comparisons instead of abstract scores). The FUTURE projects are genuinely valuable but depend on the platform first proving its worth with the basics.</w:t>
      </w:r>
    </w:p>
    <w:p>
      <w:pPr>
        <w:spacing w:after="180"/>
      </w:pPr>
      <w:r>
        <w:rPr>
          <w:rFonts w:ascii="Arial" w:cs="Arial" w:eastAsia="Arial" w:hAnsi="Arial"/>
          <w:color w:val="333333"/>
          <w:sz w:val="22"/>
          <w:szCs w:val="22"/>
        </w:rPr>
        <w:t xml:space="preserve">This document should be revisited after every major milestone and updated based on what users actually want.</w:t>
      </w:r>
    </w:p>
    <w:p>
      <w:pPr>
        <w:spacing w:after="60"/>
      </w:pPr>
    </w:p>
    <w:p>
      <w:pPr>
        <w:spacing w:before="400"/>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February 2026  |  Post-Launch Planning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666666"/>
        <w:sz w:val="16"/>
        <w:szCs w:val="16"/>
      </w:rPr>
      <w:t xml:space="preserve">Labor Relations Research Platform  |  Future Projects &amp; Post-Launch Goals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2026-02-15T15:59:25.323Z</dcterms:created>
  <dcterms:modified xsi:type="dcterms:W3CDTF">2026-02-15T15:59:25.324Z</dcterms:modified>
</cp:coreProperties>
</file>

<file path=docProps/custom.xml><?xml version="1.0" encoding="utf-8"?>
<Properties xmlns="http://schemas.openxmlformats.org/officeDocument/2006/custom-properties" xmlns:vt="http://schemas.openxmlformats.org/officeDocument/2006/docPropsVTypes"/>
</file>