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1/21/23</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0"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Skin</w:t>
            </w:r>
          </w:p>
        </w:tc>
        <w:tc>
          <w:tcPr/>
          <w:p>
            <w:pPr>
              <w:pStyle w:val="Compact"/>
              <w:jc w:val="left"/>
            </w:pPr>
            <w:r>
              <w:t xml:space="preserve">finger</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9</w:t>
            </w:r>
          </w:p>
        </w:tc>
        <w:tc>
          <w:tcPr/>
          <w:p>
            <w:pPr>
              <w:pStyle w:val="Compact"/>
              <w:jc w:val="left"/>
            </w:pPr>
            <w:r>
              <w:t xml:space="preserve">1</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character</w:t>
            </w:r>
          </w:p>
        </w:tc>
        <w:tc>
          <w:tcPr/>
          <w:p>
            <w:pPr>
              <w:pStyle w:val="Compact"/>
              <w:jc w:val="left"/>
            </w:pPr>
            <w:r>
              <w:t xml:space="preserve">3.2</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character</w:t>
            </w:r>
          </w:p>
        </w:tc>
        <w:tc>
          <w:tcPr/>
          <w:p>
            <w:pPr>
              <w:pStyle w:val="Compact"/>
              <w:jc w:val="left"/>
            </w:pPr>
            <w:r>
              <w:t xml:space="preserve">4.5</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9</w:t>
            </w:r>
          </w:p>
        </w:tc>
        <w:tc>
          <w:tcPr/>
          <w:p>
            <w:pPr>
              <w:pStyle w:val="Compact"/>
              <w:jc w:val="left"/>
            </w:pPr>
            <w:r>
              <w:t xml:space="preserve">4.66111111111111</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character</w:t>
            </w:r>
          </w:p>
        </w:tc>
        <w:tc>
          <w:tcPr/>
          <w:p>
            <w:pPr>
              <w:pStyle w:val="Compact"/>
              <w:jc w:val="left"/>
            </w:pPr>
            <w:r>
              <w:t xml:space="preserve">5.6</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character</w:t>
            </w:r>
          </w:p>
        </w:tc>
        <w:tc>
          <w:tcPr/>
          <w:p>
            <w:pPr>
              <w:pStyle w:val="Compact"/>
              <w:jc w:val="left"/>
            </w:pPr>
            <w:r>
              <w:t xml:space="preserve">8.9</w:t>
            </w:r>
          </w:p>
        </w:tc>
      </w:tr>
    </w:tbl>
    <w:bookmarkEnd w:id="31"/>
    <w:bookmarkEnd w:id="32"/>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4222452"/>
                  <wp:effectExtent b="0" l="0" r="0" t="0"/>
                  <wp:docPr descr="" title="" id="34" name="Picture"/>
                  <a:graphic>
                    <a:graphicData uri="http://schemas.openxmlformats.org/drawingml/2006/picture">
                      <pic:pic>
                        <pic:nvPicPr>
                          <pic:cNvPr descr="../../results/scatterplot_weight_and_finger.png" id="35" name="Picture"/>
                          <pic:cNvPicPr>
                            <a:picLocks noChangeArrowheads="1" noChangeAspect="1"/>
                          </pic:cNvPicPr>
                        </pic:nvPicPr>
                        <pic:blipFill>
                          <a:blip r:embed="rId33"/>
                          <a:stretch>
                            <a:fillRect/>
                          </a:stretch>
                        </pic:blipFill>
                        <pic:spPr bwMode="auto">
                          <a:xfrm>
                            <a:off x="0" y="0"/>
                            <a:ext cx="5334000" cy="4222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36"/>
        </w:tc>
      </w:tr>
    </w:tbl>
    <w:bookmarkEnd w:id="37"/>
    <w:bookmarkStart w:id="39"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8"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-2.11209</w:t>
            </w:r>
          </w:p>
        </w:tc>
        <w:tc>
          <w:tcPr/>
          <w:p>
            <w:pPr>
              <w:pStyle w:val="Compact"/>
              <w:jc w:val="right"/>
            </w:pPr>
            <w:r>
              <w:t xml:space="preserve">2.0102127</w:t>
            </w:r>
          </w:p>
        </w:tc>
        <w:tc>
          <w:tcPr/>
          <w:p>
            <w:pPr>
              <w:pStyle w:val="Compact"/>
              <w:jc w:val="right"/>
            </w:pPr>
            <w:r>
              <w:t xml:space="preserve">-1.050680</w:t>
            </w:r>
          </w:p>
        </w:tc>
        <w:tc>
          <w:tcPr/>
          <w:p>
            <w:pPr>
              <w:pStyle w:val="Compact"/>
              <w:jc w:val="right"/>
            </w:pPr>
            <w:r>
              <w:t xml:space="preserve">0.3283192</w:t>
            </w:r>
          </w:p>
        </w:tc>
      </w:tr>
      <w:tr>
        <w:tc>
          <w:tcPr/>
          <w:p>
            <w:pPr>
              <w:pStyle w:val="Compact"/>
              <w:jc w:val="left"/>
            </w:pPr>
            <w:r>
              <w:t xml:space="preserve">Weight</w:t>
            </w:r>
          </w:p>
        </w:tc>
        <w:tc>
          <w:tcPr/>
          <w:p>
            <w:pPr>
              <w:pStyle w:val="Compact"/>
              <w:jc w:val="right"/>
            </w:pPr>
            <w:r>
              <w:t xml:space="preserve">0.09676</w:t>
            </w:r>
          </w:p>
        </w:tc>
        <w:tc>
          <w:tcPr/>
          <w:p>
            <w:pPr>
              <w:pStyle w:val="Compact"/>
              <w:jc w:val="right"/>
            </w:pPr>
            <w:r>
              <w:t xml:space="preserve">0.0276002</w:t>
            </w:r>
          </w:p>
        </w:tc>
        <w:tc>
          <w:tcPr/>
          <w:p>
            <w:pPr>
              <w:pStyle w:val="Compact"/>
              <w:jc w:val="right"/>
            </w:pPr>
            <w:r>
              <w:t xml:space="preserve">3.505767</w:t>
            </w:r>
          </w:p>
        </w:tc>
        <w:tc>
          <w:tcPr/>
          <w:p>
            <w:pPr>
              <w:pStyle w:val="Compact"/>
              <w:jc w:val="right"/>
            </w:pPr>
            <w:r>
              <w:t xml:space="preserve">0.0099157</w:t>
            </w:r>
          </w:p>
        </w:tc>
      </w:tr>
    </w:tbl>
    <w:bookmarkEnd w:id="38"/>
    <w:p>
      <w:r>
        <w:br w:type="page"/>
      </w:r>
    </w:p>
    <w:bookmarkEnd w:id="39"/>
    <w:bookmarkEnd w:id="40"/>
    <w:bookmarkStart w:id="45" w:name="discussion"/>
    <w:p>
      <w:pPr>
        <w:pStyle w:val="Heading1"/>
      </w:pPr>
      <w:r>
        <w:t xml:space="preserve">5. Discussion</w:t>
      </w:r>
    </w:p>
    <w:bookmarkStart w:id="41"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1"/>
    <w:bookmarkStart w:id="42"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2"/>
    <w:bookmarkStart w:id="44"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4"/>
    <w:bookmarkEnd w:id="45"/>
    <w:bookmarkStart w:id="53" w:name="references"/>
    <w:p>
      <w:pPr>
        <w:pStyle w:val="Heading1"/>
      </w:pPr>
      <w:r>
        <w:t xml:space="preserve">6. References</w:t>
      </w:r>
    </w:p>
    <w:bookmarkStart w:id="52" w:name="refs"/>
    <w:bookmarkStart w:id="47"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6">
        <w:r>
          <w:rPr>
            <w:rStyle w:val="Hyperlink"/>
          </w:rPr>
          <w:t xml:space="preserve">https://doi.org/10.1126/science.aaa6146</w:t>
        </w:r>
      </w:hyperlink>
    </w:p>
    <w:bookmarkEnd w:id="47"/>
    <w:bookmarkStart w:id="49"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8">
        <w:r>
          <w:rPr>
            <w:rStyle w:val="Hyperlink"/>
          </w:rPr>
          <w:t xml:space="preserve">https://doi.org/10.1093/ofid/ofaa494</w:t>
        </w:r>
      </w:hyperlink>
    </w:p>
    <w:bookmarkEnd w:id="49"/>
    <w:bookmarkStart w:id="51"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0">
        <w:r>
          <w:rPr>
            <w:rStyle w:val="Hyperlink"/>
          </w:rPr>
          <w:t xml:space="preserve">https://doi.org/10.1098/rspb.2020.0496</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2023-01-22T01:09:36Z</dcterms:created>
  <dcterms:modified xsi:type="dcterms:W3CDTF">2023-01-22T01:09:36Z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