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Comentar les seguents linies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//glm::vec3 amb(0.0,0,0.0);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//glm::vec3 diff(0.8,0,0.8);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Canviar les següents declaracions: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glm::vec3 matambterra[12] = {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amb, amb, amb, amb, amb, amb, amb, amb, amb, amb, amb, amb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};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glm::vec3 matdiffterra[12] = {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diff, diff, diff, diff, diff, diff, diff, diff, diff, diff, diff, diff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 les següents: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 glm::vec3 matdiffterra[12] = {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glm::vec3(1.0, 0.0, 0.0),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glm::vec3(0.0, 1.0, 0.0),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glm::vec3(0.0, 0.0, 1.0),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glm::vec3(1.0, 0.0, 0.0),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glm::vec3(0.0, 1.0, 0.0),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glm::vec3(0.0, 0.0, 1.0),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glm::vec3(1.0, 0.0, 0.0),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glm::vec3(0.0, 1.0, 0.0),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glm::vec3(0.0, 0.0, 1.0),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glm::vec3(1.0, 0.0, 0.0),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glm::vec3(0.0, 1.0, 0.0),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glm::vec3(0.0, 0.0, 1.0)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};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glm::vec3 matambterra[12] = {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glm::vec3(0.2, 0.0, 0.0),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glm::vec3(0.0, 0.2, 0.0),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glm::vec3(0.0, 0.0, 0.2),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glm::vec3(0.2, 0.0, 0.0),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glm::vec3(0.0, 0.2, 0.0),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glm::vec3(0.0, 0.0, 0.2),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glm::vec3(0.2, 0.0, 0.0),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glm::vec3(0.0, 0.2, 0.0),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glm::vec3(0.0, 0.0, 0.2),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glm::vec3(0.2, 0.0, 0.0),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glm::vec3(0.0, 0.2, 0.0),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glm::vec3(0.0, 0.0, 0.2)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};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