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Architecture Decision Record</w:t>
      </w:r>
    </w:p>
    <w:p>
      <w:pPr>
        <w:jc w:val="center"/>
      </w:pPr>
      <w:r>
        <w:rPr>
          <w:b/>
        </w:rPr>
        <w:t>Volume IV – Architecture Decisions</w:t>
        <w:br/>
      </w:r>
      <w:r>
        <w:t>ADR-0005 – Vector Storage Strategy</w:t>
        <w:br/>
        <w:t>Version 0.1.0 (Proposed)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ADR-0005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Vector Storage Strategy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Proposed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Decision Owners</w:t>
            </w:r>
          </w:p>
        </w:tc>
        <w:tc>
          <w:tcPr>
            <w:tcW w:type="dxa" w:w="4968"/>
          </w:tcPr>
          <w:p>
            <w:r>
              <w:t>Denver Jacobs / SynapseOS Architecture Governance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Related RFCs</w:t>
            </w:r>
          </w:p>
        </w:tc>
        <w:tc>
          <w:tcPr>
            <w:tcW w:type="dxa" w:w="4968"/>
          </w:tcPr>
          <w:p>
            <w:r>
              <w:t>RFC-0001 through RFC-0020 as applicable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Proposed Decision</w:t>
      </w:r>
    </w:p>
    <w:p>
      <w:r>
        <w:t>Begin with PostgreSQL plus pgvector for Phase 1, behind a provider-neutral vector index interface.</w:t>
      </w:r>
    </w:p>
    <w:p>
      <w:pPr>
        <w:pStyle w:val="Heading1"/>
      </w:pPr>
      <w:r>
        <w:t>Status Notice</w:t>
      </w:r>
    </w:p>
    <w:p>
      <w:r>
        <w:t>This ADR is Proposed, not Accepted. The recommendation is intended for architecture review. No implementation should represent this choice as final until the ADR status is formally changed.</w:t>
      </w:r>
    </w:p>
    <w:p>
      <w:pPr>
        <w:pStyle w:val="Heading1"/>
      </w:pPr>
      <w:r>
        <w:t>1. Context</w:t>
      </w:r>
    </w:p>
    <w:p>
      <w:r>
        <w:t>Memory and knowledge RFCs require embeddings and similarity search, but early scale is unknown and adding a separate vector database increases operations.</w:t>
      </w:r>
    </w:p>
    <w:p>
      <w:pPr>
        <w:pStyle w:val="Heading1"/>
      </w:pPr>
      <w:r>
        <w:t>2. Decision Drivers</w:t>
      </w:r>
    </w:p>
    <w:p>
      <w:r>
        <w:t>Simplicity; provenance joins; deletion consistency; cost; scale path; provider neutrality.</w:t>
      </w:r>
    </w:p>
    <w:p>
      <w:pPr>
        <w:pStyle w:val="Heading1"/>
      </w:pPr>
      <w:r>
        <w:t>3. Options Considered</w:t>
      </w:r>
    </w:p>
    <w:p>
      <w:r>
        <w:t>pgvector; Qdrant; Weaviate; Milvus; Chroma; provider-managed vector services.</w:t>
      </w:r>
    </w:p>
    <w:p>
      <w:pPr>
        <w:pStyle w:val="Heading1"/>
      </w:pPr>
      <w:r>
        <w:t>4. Decision</w:t>
      </w:r>
    </w:p>
    <w:p>
      <w:r>
        <w:t>Use pgvector in the canonical PostgreSQL deployment for Phase 1. All vector operations go through a SynapseOS abstraction so a specialised engine can be introduced later.</w:t>
      </w:r>
    </w:p>
    <w:p>
      <w:pPr>
        <w:pStyle w:val="Heading1"/>
      </w:pPr>
      <w:r>
        <w:t>5. Rationale</w:t>
      </w:r>
    </w:p>
    <w:p>
      <w:r>
        <w:t>Co-location reduces operational complexity and improves transactional/provenance coordination at early scale.</w:t>
      </w:r>
    </w:p>
    <w:p>
      <w:pPr>
        <w:pStyle w:val="Heading1"/>
      </w:pPr>
      <w:r>
        <w:t>6. Positive Consequences</w:t>
      </w:r>
    </w:p>
    <w:p>
      <w:r>
        <w:t>One primary operational store; easier deletion propagation; low cost; SQL metadata filtering.</w:t>
      </w:r>
    </w:p>
    <w:p>
      <w:pPr>
        <w:pStyle w:val="Heading1"/>
      </w:pPr>
      <w:r>
        <w:t>7. Negative Consequences</w:t>
      </w:r>
    </w:p>
    <w:p>
      <w:r>
        <w:t>May not match specialised engines at very large scale; index tuning required.</w:t>
      </w:r>
    </w:p>
    <w:p>
      <w:pPr>
        <w:pStyle w:val="Heading1"/>
      </w:pPr>
      <w:r>
        <w:t>8. Implementation Constraints</w:t>
      </w:r>
    </w:p>
    <w:p>
      <w:r>
        <w:t>Record embedding model/version/dimensions; namespace by tenant/domain; never treat vectors as anonymous; source deletion reconciles vector rows.</w:t>
      </w:r>
    </w:p>
    <w:p>
      <w:pPr>
        <w:pStyle w:val="Heading1"/>
      </w:pPr>
      <w:r>
        <w:t>9. Rejected Alternatives</w:t>
      </w:r>
    </w:p>
    <w:p>
      <w:r>
        <w:t>Chroma is convenient for experiments but not preferred canonical governed store. Specialised distributed stores are premature without measured scale.</w:t>
      </w:r>
    </w:p>
    <w:p>
      <w:pPr>
        <w:pStyle w:val="Heading1"/>
      </w:pPr>
      <w:r>
        <w:t>10. Review Triggers</w:t>
      </w:r>
    </w:p>
    <w:p>
      <w:r>
        <w:t>Measured latency/recall failure; vector count scale; independent scaling; advanced filtering/distribution need.</w:t>
      </w:r>
    </w:p>
    <w:p>
      <w:pPr>
        <w:pStyle w:val="Heading1"/>
      </w:pPr>
      <w:r>
        <w:t>Decision Validation Checklist</w:t>
      </w:r>
    </w:p>
    <w:p>
      <w:r>
        <w:t>□ Context remains accurate</w:t>
      </w:r>
    </w:p>
    <w:p>
      <w:r>
        <w:t>□ Options were genuinely considered</w:t>
      </w:r>
    </w:p>
    <w:p>
      <w:r>
        <w:t>□ Recommendation aligns with accepted RFC semantics</w:t>
      </w:r>
    </w:p>
    <w:p>
      <w:r>
        <w:t>□ Security impact reviewed</w:t>
      </w:r>
    </w:p>
    <w:p>
      <w:r>
        <w:t>□ Cost and founder-operability reviewed</w:t>
      </w:r>
    </w:p>
    <w:p>
      <w:r>
        <w:t>□ Local-first requirement reviewed</w:t>
      </w:r>
    </w:p>
    <w:p>
      <w:r>
        <w:t>□ Exit/migration path exists</w:t>
      </w:r>
    </w:p>
    <w:p>
      <w:r>
        <w:t>□ Rejected alternatives documented fairly</w:t>
      </w:r>
    </w:p>
    <w:p>
      <w:r>
        <w:t>□ Review triggers defined</w:t>
      </w:r>
    </w:p>
    <w:p>
      <w:r>
        <w:t>□ Decision owner signs acceptance before implementation dependency</w:t>
      </w:r>
    </w:p>
    <w:p>
      <w:pPr>
        <w:pStyle w:val="Heading1"/>
      </w:pPr>
      <w:r>
        <w:t>Consequences Tracking</w:t>
      </w:r>
    </w:p>
    <w:p>
      <w:r>
        <w:t>After acceptance, implementation teams SHALL record unexpected consequences and trigger review when stated assumptions materially change.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proposed decision</w:t>
            </w:r>
          </w:p>
        </w:tc>
      </w:tr>
    </w:tbl>
    <w:p>
      <w:pPr>
        <w:pStyle w:val="Heading1"/>
      </w:pPr>
      <w:r>
        <w:t>Decision Approval</w:t>
      </w:r>
    </w:p>
    <w:p>
      <w:r>
        <w:t>Proposed By: Denver Jacobs ____________________  Date: __________</w:t>
        <w:br/>
        <w:br/>
        <w:t>Architecture Review: _________________________  Date: __________</w:t>
        <w:br/>
        <w:br/>
        <w:t>Security Review: _____________________________  Date: __________</w:t>
        <w:br/>
        <w:br/>
        <w:t>Decision:  ☐ Accepted   ☐ Rejected   ☐ Deferred   ☐ Superseded</w:t>
        <w:br/>
        <w:br/>
        <w:t>Accepted/Rejected By: 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