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ADR-0006 – Event Bus &amp; Messaging Technology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ADR-0006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Event Bus &amp; Messaging Technology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Use an in-process typed event bus plus PostgreSQL transactional outbox for Phase 1; defer external broker selection.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RFC-0005 requires explicit messaging semantics, but Phase 1 modular monolith does not justify a mandatory broker.</w:t>
      </w:r>
    </w:p>
    <w:p>
      <w:pPr>
        <w:pStyle w:val="Heading1"/>
      </w:pPr>
      <w:r>
        <w:t>2. Decision Drivers</w:t>
      </w:r>
    </w:p>
    <w:p>
      <w:r>
        <w:t>Reliability; low operations; local-first; transactional event publication; migration path.</w:t>
      </w:r>
    </w:p>
    <w:p>
      <w:pPr>
        <w:pStyle w:val="Heading1"/>
      </w:pPr>
      <w:r>
        <w:t>3. Options Considered</w:t>
      </w:r>
    </w:p>
    <w:p>
      <w:r>
        <w:t>In-process bus only; PostgreSQL outbox; RabbitMQ; NATS; Kafka/Redpanda; cloud broker.</w:t>
      </w:r>
    </w:p>
    <w:p>
      <w:pPr>
        <w:pStyle w:val="Heading1"/>
      </w:pPr>
      <w:r>
        <w:t>4. Decision</w:t>
      </w:r>
    </w:p>
    <w:p>
      <w:r>
        <w:t>Use typed in-process dispatch for immediate internal messages and a PostgreSQL transactional outbox for durable integration events. Introduce an external broker only through a later ADR.</w:t>
      </w:r>
    </w:p>
    <w:p>
      <w:pPr>
        <w:pStyle w:val="Heading1"/>
      </w:pPr>
      <w:r>
        <w:t>5. Rationale</w:t>
      </w:r>
    </w:p>
    <w:p>
      <w:r>
        <w:t>This preserves event contracts and reliable state/event coordination without operating distributed messaging infrastructure too early.</w:t>
      </w:r>
    </w:p>
    <w:p>
      <w:pPr>
        <w:pStyle w:val="Heading1"/>
      </w:pPr>
      <w:r>
        <w:t>6. Positive Consequences</w:t>
      </w:r>
    </w:p>
    <w:p>
      <w:r>
        <w:t>Low cost; simple local setup; atomic outbox; easy debugging.</w:t>
      </w:r>
    </w:p>
    <w:p>
      <w:pPr>
        <w:pStyle w:val="Heading1"/>
      </w:pPr>
      <w:r>
        <w:t>7. Negative Consequences</w:t>
      </w:r>
    </w:p>
    <w:p>
      <w:r>
        <w:t>Limited cross-process scale initially; polling/dispatcher required; broker features unavailable.</w:t>
      </w:r>
    </w:p>
    <w:p>
      <w:pPr>
        <w:pStyle w:val="Heading1"/>
      </w:pPr>
      <w:r>
        <w:t>8. Implementation Constraints</w:t>
      </w:r>
    </w:p>
    <w:p>
      <w:r>
        <w:t>Versioned envelopes; idempotent consumers; bounded retries; dead-letter/quarantine; correlation/causation.</w:t>
      </w:r>
    </w:p>
    <w:p>
      <w:pPr>
        <w:pStyle w:val="Heading1"/>
      </w:pPr>
      <w:r>
        <w:t>9. Rejected Alternatives</w:t>
      </w:r>
    </w:p>
    <w:p>
      <w:r>
        <w:t>Kafka is operationally excessive for Phase 1. RabbitMQ/NATS are strong candidates later but add another service before demonstrated need.</w:t>
      </w:r>
    </w:p>
    <w:p>
      <w:pPr>
        <w:pStyle w:val="Heading1"/>
      </w:pPr>
      <w:r>
        <w:t>10. Review Triggers</w:t>
      </w:r>
    </w:p>
    <w:p>
      <w:r>
        <w:t>Multiple independent services; throughput limits; durable fan-out requirements; geographic distribution.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