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ADR-0008 – Containerisation Strategy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ADR-0008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Containerisation Strategy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Use Docker-compatible OCI containers and Docker Compose for Phase 1 local/reference multi-service deployment; do not adopt Kubernetes yet.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SynapseOS requires reproducible PostgreSQL, local adapters and future isolated services, but early infrastructure must remain affordable and understandable.</w:t>
      </w:r>
    </w:p>
    <w:p>
      <w:pPr>
        <w:pStyle w:val="Heading1"/>
      </w:pPr>
      <w:r>
        <w:t>2. Decision Drivers</w:t>
      </w:r>
    </w:p>
    <w:p>
      <w:r>
        <w:t>Reproducibility; Windows/Linux development; low operational burden; portability; isolation.</w:t>
      </w:r>
    </w:p>
    <w:p>
      <w:pPr>
        <w:pStyle w:val="Heading1"/>
      </w:pPr>
      <w:r>
        <w:t>3. Options Considered</w:t>
      </w:r>
    </w:p>
    <w:p>
      <w:r>
        <w:t>Native processes only; Docker/OCI + Compose; Podman; Kubernetes; Nomad.</w:t>
      </w:r>
    </w:p>
    <w:p>
      <w:pPr>
        <w:pStyle w:val="Heading1"/>
      </w:pPr>
      <w:r>
        <w:t>4. Decision</w:t>
      </w:r>
    </w:p>
    <w:p>
      <w:r>
        <w:t>Package deployable services as OCI-compatible images where useful and provide Docker Compose for the reference stack. Native local development remains allowed. Kubernetes is deferred.</w:t>
      </w:r>
    </w:p>
    <w:p>
      <w:pPr>
        <w:pStyle w:val="Heading1"/>
      </w:pPr>
      <w:r>
        <w:t>5. Rationale</w:t>
      </w:r>
    </w:p>
    <w:p>
      <w:r>
        <w:t>Compose is sufficient for a small reference topology and provides a clear migration path without imposing cluster complexity.</w:t>
      </w:r>
    </w:p>
    <w:p>
      <w:pPr>
        <w:pStyle w:val="Heading1"/>
      </w:pPr>
      <w:r>
        <w:t>6. Positive Consequences</w:t>
      </w:r>
    </w:p>
    <w:p>
      <w:r>
        <w:t>Reproducible dependencies; easy PostgreSQL setup; portable stack; clear service boundaries.</w:t>
      </w:r>
    </w:p>
    <w:p>
      <w:pPr>
        <w:pStyle w:val="Heading1"/>
      </w:pPr>
      <w:r>
        <w:t>7. Negative Consequences</w:t>
      </w:r>
    </w:p>
    <w:p>
      <w:r>
        <w:t>Docker Desktop/licensing/host differences may matter; containers are not strong security sandboxes by themselves.</w:t>
      </w:r>
    </w:p>
    <w:p>
      <w:pPr>
        <w:pStyle w:val="Heading1"/>
      </w:pPr>
      <w:r>
        <w:t>8. Implementation Constraints</w:t>
      </w:r>
    </w:p>
    <w:p>
      <w:r>
        <w:t>Pin image versions; non-root where feasible; health checks; secret injection; resource limits; no public admin ports by default.</w:t>
      </w:r>
    </w:p>
    <w:p>
      <w:pPr>
        <w:pStyle w:val="Heading1"/>
      </w:pPr>
      <w:r>
        <w:t>9. Rejected Alternatives</w:t>
      </w:r>
    </w:p>
    <w:p>
      <w:r>
        <w:t>Kubernetes-first is unjustified. Native-only reduces reproducibility. Podman remains compatible direction but not initial reference UX.</w:t>
      </w:r>
    </w:p>
    <w:p>
      <w:pPr>
        <w:pStyle w:val="Heading1"/>
      </w:pPr>
      <w:r>
        <w:t>10. Review Triggers</w:t>
      </w:r>
    </w:p>
    <w:p>
      <w:r>
        <w:t>Multi-node scheduling; high availability; many services; organisational platform team.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