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Architecture Decision Record</w:t>
      </w:r>
    </w:p>
    <w:p>
      <w:pPr>
        <w:jc w:val="center"/>
      </w:pPr>
      <w:r>
        <w:rPr>
          <w:b/>
        </w:rPr>
        <w:t>Volume IV – Architecture Decisions</w:t>
        <w:br/>
      </w:r>
      <w:r>
        <w:t>ADR-0009 – API Protocol &amp; Serialization Strategy</w:t>
        <w:br/>
        <w:t>Version 0.1.0 (Proposed)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ADR-0009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API Protocol &amp; Serialization Strategy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Proposed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Decision Owners</w:t>
            </w:r>
          </w:p>
        </w:tc>
        <w:tc>
          <w:tcPr>
            <w:tcW w:type="dxa" w:w="4968"/>
          </w:tcPr>
          <w:p>
            <w:r>
              <w:t>Denver Jacobs / SynapseOS Architecture Governance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Related RFCs</w:t>
            </w:r>
          </w:p>
        </w:tc>
        <w:tc>
          <w:tcPr>
            <w:tcW w:type="dxa" w:w="4968"/>
          </w:tcPr>
          <w:p>
            <w:r>
              <w:t>RFC-0001 through RFC-0020 as applicable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Proposed Decision</w:t>
      </w:r>
    </w:p>
    <w:p>
      <w:r>
        <w:t>Use RESTful HTTP with JSON for public/control APIs and versioned JSON message contracts initially; reserve gRPC for measured internal needs.</w:t>
      </w:r>
    </w:p>
    <w:p>
      <w:pPr>
        <w:pStyle w:val="Heading1"/>
      </w:pPr>
      <w:r>
        <w:t>Status Notice</w:t>
      </w:r>
    </w:p>
    <w:p>
      <w:r>
        <w:t>This ADR is Proposed, not Accepted. The recommendation is intended for architecture review. No implementation should represent this choice as final until the ADR status is formally changed.</w:t>
      </w:r>
    </w:p>
    <w:p>
      <w:pPr>
        <w:pStyle w:val="Heading1"/>
      </w:pPr>
      <w:r>
        <w:t>1. Context</w:t>
      </w:r>
    </w:p>
    <w:p>
      <w:r>
        <w:t>SynapseOS needs understandable interfaces for SDKs, tools, providers and administration while remaining language-neutral.</w:t>
      </w:r>
    </w:p>
    <w:p>
      <w:pPr>
        <w:pStyle w:val="Heading1"/>
      </w:pPr>
      <w:r>
        <w:t>2. Decision Drivers</w:t>
      </w:r>
    </w:p>
    <w:p>
      <w:r>
        <w:t>Debuggability; ecosystem; browser compatibility; schema support; streaming; performance; future polyglot services.</w:t>
      </w:r>
    </w:p>
    <w:p>
      <w:pPr>
        <w:pStyle w:val="Heading1"/>
      </w:pPr>
      <w:r>
        <w:t>3. Options Considered</w:t>
      </w:r>
    </w:p>
    <w:p>
      <w:r>
        <w:t>REST/JSON; gRPC/Protobuf; GraphQL; MessagePack; custom protocol.</w:t>
      </w:r>
    </w:p>
    <w:p>
      <w:pPr>
        <w:pStyle w:val="Heading1"/>
      </w:pPr>
      <w:r>
        <w:t>4. Decision</w:t>
      </w:r>
    </w:p>
    <w:p>
      <w:r>
        <w:t>Use HTTPS REST-style APIs with JSON and OpenAPI-compatible schemas for Phase 1 external/control interfaces. Use versioned JSON envelopes for messages. gRPC MAY be introduced for high-throughput internal boundaries by later ADR.</w:t>
      </w:r>
    </w:p>
    <w:p>
      <w:pPr>
        <w:pStyle w:val="Heading1"/>
      </w:pPr>
      <w:r>
        <w:t>5. Rationale</w:t>
      </w:r>
    </w:p>
    <w:p>
      <w:r>
        <w:t>REST/JSON is easiest to inspect, integrate and debug during bootstrap and works across C#, Python and web clients.</w:t>
      </w:r>
    </w:p>
    <w:p>
      <w:pPr>
        <w:pStyle w:val="Heading1"/>
      </w:pPr>
      <w:r>
        <w:t>6. Positive Consequences</w:t>
      </w:r>
    </w:p>
    <w:p>
      <w:r>
        <w:t>Broad tooling; human-readable; easy Claude Code generation/review; simple integration.</w:t>
      </w:r>
    </w:p>
    <w:p>
      <w:pPr>
        <w:pStyle w:val="Heading1"/>
      </w:pPr>
      <w:r>
        <w:t>7. Negative Consequences</w:t>
      </w:r>
    </w:p>
    <w:p>
      <w:r>
        <w:t>Larger payloads; weaker compile-time cross-language guarantees than Protobuf; streaming less efficient.</w:t>
      </w:r>
    </w:p>
    <w:p>
      <w:pPr>
        <w:pStyle w:val="Heading1"/>
      </w:pPr>
      <w:r>
        <w:t>8. Implementation Constraints</w:t>
      </w:r>
    </w:p>
    <w:p>
      <w:r>
        <w:t>Explicit schemas; reject unknown critical fields where appropriate; stable error model; idempotency; pagination; no secrets in URLs.</w:t>
      </w:r>
    </w:p>
    <w:p>
      <w:pPr>
        <w:pStyle w:val="Heading1"/>
      </w:pPr>
      <w:r>
        <w:t>9. Rejected Alternatives</w:t>
      </w:r>
    </w:p>
    <w:p>
      <w:r>
        <w:t>gRPC-everywhere adds complexity and browser friction before performance evidence. GraphQL is not suited as universal control protocol.</w:t>
      </w:r>
    </w:p>
    <w:p>
      <w:pPr>
        <w:pStyle w:val="Heading1"/>
      </w:pPr>
      <w:r>
        <w:t>10. Review Triggers</w:t>
      </w:r>
    </w:p>
    <w:p>
      <w:r>
        <w:t>Measured serialization overhead; streaming requirements; high-frequency internal calls; mobile bandwidth constraints.</w:t>
      </w:r>
    </w:p>
    <w:p>
      <w:pPr>
        <w:pStyle w:val="Heading1"/>
      </w:pPr>
      <w:r>
        <w:t>Decision Validation Checklist</w:t>
      </w:r>
    </w:p>
    <w:p>
      <w:r>
        <w:t>□ Context remains accurate</w:t>
      </w:r>
    </w:p>
    <w:p>
      <w:r>
        <w:t>□ Options were genuinely considered</w:t>
      </w:r>
    </w:p>
    <w:p>
      <w:r>
        <w:t>□ Recommendation aligns with accepted RFC semantics</w:t>
      </w:r>
    </w:p>
    <w:p>
      <w:r>
        <w:t>□ Security impact reviewed</w:t>
      </w:r>
    </w:p>
    <w:p>
      <w:r>
        <w:t>□ Cost and founder-operability reviewed</w:t>
      </w:r>
    </w:p>
    <w:p>
      <w:r>
        <w:t>□ Local-first requirement reviewed</w:t>
      </w:r>
    </w:p>
    <w:p>
      <w:r>
        <w:t>□ Exit/migration path exists</w:t>
      </w:r>
    </w:p>
    <w:p>
      <w:r>
        <w:t>□ Rejected alternatives documented fairly</w:t>
      </w:r>
    </w:p>
    <w:p>
      <w:r>
        <w:t>□ Review triggers defined</w:t>
      </w:r>
    </w:p>
    <w:p>
      <w:r>
        <w:t>□ Decision owner signs acceptance before implementation dependency</w:t>
      </w:r>
    </w:p>
    <w:p>
      <w:pPr>
        <w:pStyle w:val="Heading1"/>
      </w:pPr>
      <w:r>
        <w:t>Consequences Tracking</w:t>
      </w:r>
    </w:p>
    <w:p>
      <w:r>
        <w:t>After acceptance, implementation teams SHALL record unexpected consequences and trigger review when stated assumptions materially change.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proposed decision</w:t>
            </w:r>
          </w:p>
        </w:tc>
      </w:tr>
    </w:tbl>
    <w:p>
      <w:pPr>
        <w:pStyle w:val="Heading1"/>
      </w:pPr>
      <w:r>
        <w:t>Decision Approval</w:t>
      </w:r>
    </w:p>
    <w:p>
      <w:r>
        <w:t>Proposed By: Denver Jacobs ____________________  Date: __________</w:t>
        <w:br/>
        <w:br/>
        <w:t>Architecture Review: _________________________  Date: __________</w:t>
        <w:br/>
        <w:br/>
        <w:t>Security Review: _____________________________  Date: __________</w:t>
        <w:br/>
        <w:br/>
        <w:t>Decision:  ☐ Accepted   ☐ Rejected   ☐ Deferred   ☐ Superseded</w:t>
        <w:br/>
        <w:br/>
        <w:t>Accepted/Rejected By: 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