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Architecture Decision Record</w:t>
      </w:r>
    </w:p>
    <w:p>
      <w:pPr>
        <w:jc w:val="center"/>
      </w:pPr>
      <w:r>
        <w:rPr>
          <w:b/>
        </w:rPr>
        <w:t>Volume IV – Architecture Decisions</w:t>
        <w:br/>
      </w:r>
      <w:r>
        <w:t>ADR-0010 – Observability Stack</w:t>
        <w:br/>
        <w:t>Version 0.1.0 (Proposed)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ADR-0010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Observability Stack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Proposed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Decision Owners</w:t>
            </w:r>
          </w:p>
        </w:tc>
        <w:tc>
          <w:tcPr>
            <w:tcW w:type="dxa" w:w="4968"/>
          </w:tcPr>
          <w:p>
            <w:r>
              <w:t>Denver Jacobs / SynapseOS Architecture Governance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Related RFCs</w:t>
            </w:r>
          </w:p>
        </w:tc>
        <w:tc>
          <w:tcPr>
            <w:tcW w:type="dxa" w:w="4968"/>
          </w:tcPr>
          <w:p>
            <w:r>
              <w:t>RFC-0001 through RFC-0020 as applicable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Proposed Decision</w:t>
      </w:r>
    </w:p>
    <w:p>
      <w:r>
        <w:t>Adopt OpenTelemetry instrumentation as the portability standard, with a lightweight local collector and initially simple backends selected during implementation.</w:t>
      </w:r>
    </w:p>
    <w:p>
      <w:pPr>
        <w:pStyle w:val="Heading1"/>
      </w:pPr>
      <w:r>
        <w:t>Status Notice</w:t>
      </w:r>
    </w:p>
    <w:p>
      <w:r>
        <w:t>This ADR is Proposed, not Accepted. The recommendation is intended for architecture review. No implementation should represent this choice as final until the ADR status is formally changed.</w:t>
      </w:r>
    </w:p>
    <w:p>
      <w:pPr>
        <w:pStyle w:val="Heading1"/>
      </w:pPr>
      <w:r>
        <w:t>1. Context</w:t>
      </w:r>
    </w:p>
    <w:p>
      <w:r>
        <w:t>RFC-0020 requires correlated logs, metrics, traces and audit evidence. The project must avoid locking instrumentation to one vendor.</w:t>
      </w:r>
    </w:p>
    <w:p>
      <w:pPr>
        <w:pStyle w:val="Heading1"/>
      </w:pPr>
      <w:r>
        <w:t>2. Decision Drivers</w:t>
      </w:r>
    </w:p>
    <w:p>
      <w:r>
        <w:t>Portability; .NET/Python support; correlation; local-first operation; cost; future backend flexibility.</w:t>
      </w:r>
    </w:p>
    <w:p>
      <w:pPr>
        <w:pStyle w:val="Heading1"/>
      </w:pPr>
      <w:r>
        <w:t>3. Options Considered</w:t>
      </w:r>
    </w:p>
    <w:p>
      <w:r>
        <w:t>OpenTelemetry; vendor-specific SDKs; Prometheus-only; custom logging/metrics.</w:t>
      </w:r>
    </w:p>
    <w:p>
      <w:pPr>
        <w:pStyle w:val="Heading1"/>
      </w:pPr>
      <w:r>
        <w:t>4. Decision</w:t>
      </w:r>
    </w:p>
    <w:p>
      <w:r>
        <w:t>Instrument core services using OpenTelemetry-compatible APIs/concepts. Run an OpenTelemetry Collector in the reference stack when multi-process telemetry is needed. Keep audit storage logically separate from ordinary telemetry.</w:t>
      </w:r>
    </w:p>
    <w:p>
      <w:pPr>
        <w:pStyle w:val="Heading1"/>
      </w:pPr>
      <w:r>
        <w:t>5. Rationale</w:t>
      </w:r>
    </w:p>
    <w:p>
      <w:r>
        <w:t>OpenTelemetry provides an industry-standard neutral instrumentation layer and supports later backend choice.</w:t>
      </w:r>
    </w:p>
    <w:p>
      <w:pPr>
        <w:pStyle w:val="Heading1"/>
      </w:pPr>
      <w:r>
        <w:t>6. Positive Consequences</w:t>
      </w:r>
    </w:p>
    <w:p>
      <w:r>
        <w:t>Cross-language correlation; backend flexibility; strong ecosystem; future cloud compatibility.</w:t>
      </w:r>
    </w:p>
    <w:p>
      <w:pPr>
        <w:pStyle w:val="Heading1"/>
      </w:pPr>
      <w:r>
        <w:t>7. Negative Consequences</w:t>
      </w:r>
    </w:p>
    <w:p>
      <w:r>
        <w:t>Collector/configuration complexity; telemetry volume management required; audit integrity still needs separate design.</w:t>
      </w:r>
    </w:p>
    <w:p>
      <w:pPr>
        <w:pStyle w:val="Heading1"/>
      </w:pPr>
      <w:r>
        <w:t>8. Initial Backend Direction</w:t>
      </w:r>
    </w:p>
    <w:p>
      <w:r>
        <w:t>Use structured console/file logs during earliest bootstrap, Prometheus-compatible metrics where needed, and select trace/log backend only when operational use justifies it.</w:t>
      </w:r>
    </w:p>
    <w:p>
      <w:pPr>
        <w:pStyle w:val="Heading1"/>
      </w:pPr>
      <w:r>
        <w:t>9. Audit Boundary</w:t>
      </w:r>
    </w:p>
    <w:p>
      <w:r>
        <w:t>Security/governance audit events SHALL NOT depend solely on sampled traces or disposable debug logs.</w:t>
      </w:r>
    </w:p>
    <w:p>
      <w:pPr>
        <w:pStyle w:val="Heading1"/>
      </w:pPr>
      <w:r>
        <w:t>10. Implementation Constraints</w:t>
      </w:r>
    </w:p>
    <w:p>
      <w:r>
        <w:t>Redaction; controlled metric cardinality; correlation IDs; no full prompt logging by default; retention policies.</w:t>
      </w:r>
    </w:p>
    <w:p>
      <w:pPr>
        <w:pStyle w:val="Heading1"/>
      </w:pPr>
      <w:r>
        <w:t>11. Rejected Alternatives</w:t>
      </w:r>
    </w:p>
    <w:p>
      <w:r>
        <w:t>Vendor-specific instrumentation creates lock-in. Custom telemetry reinvents mature standards. Prometheus alone does not cover traces/log correlation.</w:t>
      </w:r>
    </w:p>
    <w:p>
      <w:pPr>
        <w:pStyle w:val="Heading1"/>
      </w:pPr>
      <w:r>
        <w:t>12. Review Triggers</w:t>
      </w:r>
    </w:p>
    <w:p>
      <w:r>
        <w:t>Production deployment; dashboard requirements; retention scale; audit integrity design; backend cost.</w:t>
      </w:r>
    </w:p>
    <w:p>
      <w:pPr>
        <w:pStyle w:val="Heading1"/>
      </w:pPr>
      <w:r>
        <w:t>Decision Validation Checklist</w:t>
      </w:r>
    </w:p>
    <w:p>
      <w:r>
        <w:t>□ Context remains accurate</w:t>
      </w:r>
    </w:p>
    <w:p>
      <w:r>
        <w:t>□ Options were genuinely considered</w:t>
      </w:r>
    </w:p>
    <w:p>
      <w:r>
        <w:t>□ Recommendation aligns with accepted RFC semantics</w:t>
      </w:r>
    </w:p>
    <w:p>
      <w:r>
        <w:t>□ Security impact reviewed</w:t>
      </w:r>
    </w:p>
    <w:p>
      <w:r>
        <w:t>□ Cost and founder-operability reviewed</w:t>
      </w:r>
    </w:p>
    <w:p>
      <w:r>
        <w:t>□ Local-first requirement reviewed</w:t>
      </w:r>
    </w:p>
    <w:p>
      <w:r>
        <w:t>□ Exit/migration path exists</w:t>
      </w:r>
    </w:p>
    <w:p>
      <w:r>
        <w:t>□ Rejected alternatives documented fairly</w:t>
      </w:r>
    </w:p>
    <w:p>
      <w:r>
        <w:t>□ Review triggers defined</w:t>
      </w:r>
    </w:p>
    <w:p>
      <w:r>
        <w:t>□ Decision owner signs acceptance before implementation dependency</w:t>
      </w:r>
    </w:p>
    <w:p>
      <w:pPr>
        <w:pStyle w:val="Heading1"/>
      </w:pPr>
      <w:r>
        <w:t>Consequences Tracking</w:t>
      </w:r>
    </w:p>
    <w:p>
      <w:r>
        <w:t>After acceptance, implementation teams SHALL record unexpected consequences and trigger review when stated assumptions materially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proposed decision</w:t>
            </w:r>
          </w:p>
        </w:tc>
      </w:tr>
    </w:tbl>
    <w:p>
      <w:pPr>
        <w:pStyle w:val="Heading1"/>
      </w:pPr>
      <w:r>
        <w:t>Decision Approval</w:t>
      </w:r>
    </w:p>
    <w:p>
      <w:r>
        <w:t>Proposed By: Denver Jacobs ____________________  Date: __________</w:t>
        <w:br/>
        <w:br/>
        <w:t>Architecture Review: _________________________  Date: __________</w:t>
        <w:br/>
        <w:br/>
        <w:t>Security Review: _____________________________  Date: __________</w:t>
        <w:br/>
        <w:br/>
        <w:t>Decision:  ☐ Accepted   ☐ Rejected   ☐ Deferred   ☐ Superseded</w:t>
        <w:br/>
        <w:br/>
        <w:t>Accepted/Rejected By: 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