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GOV-003 – Governance Model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>
      <w:pPr>
        <w:pStyle w:val="Heading1"/>
      </w:pPr>
      <w:r>
        <w:t>Purpose</w:t>
      </w:r>
    </w:p>
    <w:p>
      <w:r>
        <w:t>Define how SynapseOS is governed, who makes decisions, and how architectural and implementation changes are approved.</w:t>
      </w:r>
    </w:p>
    <w:p>
      <w:pPr>
        <w:pStyle w:val="Heading1"/>
      </w:pPr>
      <w:r>
        <w:t>Governance Philosophy</w:t>
      </w:r>
    </w:p>
    <w:p>
      <w:r>
        <w:t>SynapseOS follows a documentation-first, architecture-driven governance model. Decisions are transparent, traceable and recorded.</w:t>
      </w:r>
    </w:p>
    <w:p>
      <w:pPr>
        <w:pStyle w:val="Heading1"/>
      </w:pPr>
      <w:r>
        <w:t>Roles and Responsibilities</w:t>
      </w:r>
    </w:p>
    <w:p>
      <w:r>
        <w:t>Founder/Product Owner: Defines vision and priorities.</w:t>
        <w:br/>
        <w:t>Chief Architect: Owns system architecture and standards.</w:t>
        <w:br/>
        <w:t>Implementation Team (Claude Code/Human Developers): Builds approved specifications.</w:t>
        <w:br/>
        <w:t>Contributors: Submit proposals, RFCs and improvements.</w:t>
      </w:r>
    </w:p>
    <w:p>
      <w:pPr>
        <w:pStyle w:val="Heading1"/>
      </w:pPr>
      <w:r>
        <w:t>Decision Process</w:t>
      </w:r>
    </w:p>
    <w:p>
      <w:r>
        <w:t>1. Identify a need.</w:t>
        <w:br/>
        <w:t>2. Update or create Architecture document.</w:t>
        <w:br/>
        <w:t>3. Draft RFC.</w:t>
        <w:br/>
        <w:t>4. Technical review.</w:t>
        <w:br/>
        <w:t>5. Approval.</w:t>
        <w:br/>
        <w:t>6. Implementation.</w:t>
        <w:br/>
        <w:t>7. Testing.</w:t>
        <w:br/>
        <w:t>8. Merge.</w:t>
      </w:r>
    </w:p>
    <w:p>
      <w:pPr>
        <w:pStyle w:val="Heading1"/>
      </w:pPr>
      <w:r>
        <w:t>Document Hierarchy</w:t>
      </w:r>
    </w:p>
    <w:p>
      <w:r>
        <w:t>Governance → Standards → Architecture → ADRs → RFCs → Implementation → Testing → Release</w:t>
      </w:r>
    </w:p>
    <w:p>
      <w:pPr>
        <w:pStyle w:val="Heading1"/>
      </w:pPr>
      <w:r>
        <w:t>Architecture Decision Records</w:t>
      </w:r>
    </w:p>
    <w:p>
      <w:r>
        <w:t>Every significant architectural decision must be recorded in an ADR. ADRs provide historical context and justification for future maintainers.</w:t>
      </w:r>
    </w:p>
    <w:p>
      <w:pPr>
        <w:pStyle w:val="Heading1"/>
      </w:pPr>
      <w:r>
        <w:t>Change Control</w:t>
      </w:r>
    </w:p>
    <w:p>
      <w:r>
        <w:t>Breaking architectural changes require a new RFC, updated architecture documents, review and approval before implementation.</w:t>
      </w:r>
    </w:p>
    <w:p>
      <w:pPr>
        <w:pStyle w:val="Heading1"/>
      </w:pPr>
      <w:r>
        <w:t>Project Values</w:t>
      </w:r>
    </w:p>
    <w:p>
      <w:r>
        <w:t>Transparency</w:t>
        <w:br/>
        <w:t>Consistency</w:t>
        <w:br/>
        <w:t>Traceability</w:t>
        <w:br/>
        <w:t>Modularity</w:t>
        <w:br/>
        <w:t>Security</w:t>
        <w:br/>
        <w:t>Quality</w:t>
        <w:br/>
        <w:t>Continuous Improvement</w:t>
      </w:r>
    </w:p>
    <w:p>
      <w:pPr>
        <w:pStyle w:val="Heading1"/>
      </w:pPr>
      <w:r>
        <w:t>Success Criteria</w:t>
      </w:r>
    </w:p>
    <w:p>
      <w:r>
        <w:t>All engineering work is traceable to approved documentation. Governance remains lightweight while ensuring long-term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