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SynapseOS Engineering Manual</w:t>
      </w:r>
    </w:p>
    <w:p>
      <w:pPr>
        <w:jc w:val="center"/>
      </w:pPr>
      <w:r>
        <w:rPr>
          <w:b/>
        </w:rPr>
        <w:t>Volume I – Governance</w:t>
        <w:br/>
      </w:r>
      <w:r>
        <w:t>GOV-006 – Technical Strategy</w:t>
        <w:br/>
        <w:t>Version 0.1.0 (Draft)</w:t>
      </w:r>
    </w:p>
    <w:p>
      <w:r>
        <w:br w:type="page"/>
      </w:r>
    </w:p>
    <w:p>
      <w:pPr>
        <w:pStyle w:val="Heading1"/>
      </w:pPr>
      <w:r>
        <w:t>Document Control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Field</w:t>
            </w:r>
          </w:p>
        </w:tc>
        <w:tc>
          <w:tcPr>
            <w:tcW w:type="dxa" w:w="4320"/>
          </w:tcPr>
          <w:p>
            <w:r>
              <w:t>Value</w:t>
            </w:r>
          </w:p>
        </w:tc>
      </w:tr>
      <w:tr>
        <w:tc>
          <w:tcPr>
            <w:tcW w:type="dxa" w:w="4320"/>
          </w:tcPr>
          <w:p>
            <w:r>
              <w:t>Document ID</w:t>
            </w:r>
          </w:p>
        </w:tc>
        <w:tc>
          <w:tcPr>
            <w:tcW w:type="dxa" w:w="4320"/>
          </w:tcPr>
          <w:p>
            <w:r>
              <w:t>GOV-006</w:t>
            </w:r>
          </w:p>
        </w:tc>
      </w:tr>
      <w:tr>
        <w:tc>
          <w:tcPr>
            <w:tcW w:type="dxa" w:w="4320"/>
          </w:tcPr>
          <w:p>
            <w:r>
              <w:t>Version</w:t>
            </w:r>
          </w:p>
        </w:tc>
        <w:tc>
          <w:tcPr>
            <w:tcW w:type="dxa" w:w="4320"/>
          </w:tcPr>
          <w:p>
            <w:r>
              <w:t>0.1.0</w:t>
            </w:r>
          </w:p>
        </w:tc>
      </w:tr>
      <w:tr>
        <w:tc>
          <w:tcPr>
            <w:tcW w:type="dxa" w:w="4320"/>
          </w:tcPr>
          <w:p>
            <w:r>
              <w:t>Status</w:t>
            </w:r>
          </w:p>
        </w:tc>
        <w:tc>
          <w:tcPr>
            <w:tcW w:type="dxa" w:w="4320"/>
          </w:tcPr>
          <w:p>
            <w:r>
              <w:t>Draft</w:t>
            </w:r>
          </w:p>
        </w:tc>
      </w:tr>
      <w:tr>
        <w:tc>
          <w:tcPr>
            <w:tcW w:type="dxa" w:w="4320"/>
          </w:tcPr>
          <w:p>
            <w:r>
              <w:t>Author</w:t>
            </w:r>
          </w:p>
        </w:tc>
        <w:tc>
          <w:tcPr>
            <w:tcW w:type="dxa" w:w="4320"/>
          </w:tcPr>
          <w:p>
            <w:r>
              <w:t>Denver Jacobs</w:t>
            </w:r>
          </w:p>
        </w:tc>
      </w:tr>
      <w:tr>
        <w:tc>
          <w:tcPr>
            <w:tcW w:type="dxa" w:w="4320"/>
          </w:tcPr>
          <w:p>
            <w:r>
              <w:t>Classification</w:t>
            </w:r>
          </w:p>
        </w:tc>
        <w:tc>
          <w:tcPr>
            <w:tcW w:type="dxa" w:w="4320"/>
          </w:tcPr>
          <w:p>
            <w:r>
              <w:t>Public</w:t>
            </w:r>
          </w:p>
        </w:tc>
      </w:tr>
    </w:tbl>
    <w:p>
      <w:pPr>
        <w:pStyle w:val="Heading1"/>
      </w:pPr>
      <w:r>
        <w:t>Purpose</w:t>
      </w:r>
    </w:p>
    <w:p>
      <w:r>
        <w:t>Define the long-term technical direction for SynapseOS and establish the principles that guide technology selection and evolution.</w:t>
      </w:r>
    </w:p>
    <w:p>
      <w:pPr>
        <w:pStyle w:val="Heading1"/>
      </w:pPr>
      <w:r>
        <w:t>Technology Philosophy</w:t>
      </w:r>
    </w:p>
    <w:p>
      <w:r>
        <w:t>Adopt stable, widely supported technologies that encourage modularity, portability and long-term maintainability. Avoid unnecessary complexity and vendor lock-in.</w:t>
      </w:r>
    </w:p>
    <w:p>
      <w:pPr>
        <w:pStyle w:val="Heading1"/>
      </w:pPr>
      <w:r>
        <w:t>Architecture Strategy</w:t>
      </w:r>
    </w:p>
    <w:p>
      <w:r>
        <w:t>Build a modular Intelligence Operating System composed of replaceable services connected through well-defined interfaces and an event-driven architecture.</w:t>
      </w:r>
    </w:p>
    <w:p>
      <w:pPr>
        <w:pStyle w:val="Heading1"/>
      </w:pPr>
      <w:r>
        <w:t>Programming Language Strategy</w:t>
      </w:r>
    </w:p>
    <w:p>
      <w:r>
        <w:t>Select technologies based on suitability for each component. Core services should prioritise performance, safety and maintainability. User interfaces and tooling may use different technologies where appropriate.</w:t>
      </w:r>
    </w:p>
    <w:p>
      <w:pPr>
        <w:pStyle w:val="Heading1"/>
      </w:pPr>
      <w:r>
        <w:t>AI Provider Strategy</w:t>
      </w:r>
    </w:p>
    <w:p>
      <w:r>
        <w:t>Integrate AI providers through a common provider interface. No module may depend directly on a specific AI vendor. Providers must be replaceable without architectural redesign.</w:t>
      </w:r>
    </w:p>
    <w:p>
      <w:pPr>
        <w:pStyle w:val="Heading1"/>
      </w:pPr>
      <w:r>
        <w:t>Infrastructure Strategy</w:t>
      </w:r>
    </w:p>
    <w:p>
      <w:r>
        <w:t>Support local development, virtual machines, containers and cloud deployment. Infrastructure should be reproducible through configuration and automation.</w:t>
      </w:r>
    </w:p>
    <w:p>
      <w:pPr>
        <w:pStyle w:val="Heading1"/>
      </w:pPr>
      <w:r>
        <w:t>Scalability Strategy</w:t>
      </w:r>
    </w:p>
    <w:p>
      <w:r>
        <w:t>Design for horizontal expansion, modular deployment and distributed workloads as platform capabilities increase.</w:t>
      </w:r>
    </w:p>
    <w:p>
      <w:pPr>
        <w:pStyle w:val="Heading1"/>
      </w:pPr>
      <w:r>
        <w:t>Security Strategy</w:t>
      </w:r>
    </w:p>
    <w:p>
      <w:r>
        <w:t>Embed authentication, authorisation, secrets management, encryption and auditing into the platform from the beginning rather than adding them later.</w:t>
      </w:r>
    </w:p>
    <w:p>
      <w:pPr>
        <w:pStyle w:val="Heading1"/>
      </w:pPr>
      <w:r>
        <w:t>Technical Roadmap</w:t>
      </w:r>
    </w:p>
    <w:p>
      <w:r>
        <w:t>Phase 1: Core platform</w:t>
        <w:br/>
        <w:t>Phase 2: Intelligence services</w:t>
        <w:br/>
        <w:t>Phase 3: Developer platform</w:t>
        <w:br/>
        <w:t>Phase 4: Enterprise capabilities</w:t>
        <w:br/>
        <w:t>Phase 5: Autonomous organisations</w:t>
      </w:r>
    </w:p>
    <w:p>
      <w:pPr>
        <w:pStyle w:val="Heading1"/>
      </w:pPr>
      <w:r>
        <w:t>Review Cycle</w:t>
      </w:r>
    </w:p>
    <w:p>
      <w:r>
        <w:t>Review the technical strategy annually or after significant architectural change.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