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 – Governance</w:t>
        <w:br/>
      </w:r>
      <w:r>
        <w:t>GOV-007 – Open Source Strategy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GOV-007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Denver Jacobs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>
      <w:pPr>
        <w:pStyle w:val="Heading1"/>
      </w:pPr>
      <w:r>
        <w:t>Purpose</w:t>
      </w:r>
    </w:p>
    <w:p>
      <w:r>
        <w:t>Define how SynapseOS will balance open-source collaboration with sustainable long-term product development.</w:t>
      </w:r>
    </w:p>
    <w:p>
      <w:pPr>
        <w:pStyle w:val="Heading1"/>
      </w:pPr>
      <w:r>
        <w:t>Vision</w:t>
      </w:r>
    </w:p>
    <w:p>
      <w:r>
        <w:t>Develop SynapseOS in a way that encourages collaboration, transparency and community participation while preserving architectural quality.</w:t>
      </w:r>
    </w:p>
    <w:p>
      <w:pPr>
        <w:pStyle w:val="Heading1"/>
      </w:pPr>
      <w:r>
        <w:t>Licensing Strategy</w:t>
      </w:r>
    </w:p>
    <w:p>
      <w:r>
        <w:t>Evaluate permissive licensing for the core platform while allowing commercial services, enterprise extensions or hosted offerings where appropriate.</w:t>
      </w:r>
    </w:p>
    <w:p>
      <w:pPr>
        <w:pStyle w:val="Heading1"/>
      </w:pPr>
      <w:r>
        <w:t>Contribution Model</w:t>
      </w:r>
    </w:p>
    <w:p>
      <w:r>
        <w:t>All contributions require issues, pull requests, code review and approval. Significant features must reference Architecture documents and RFCs.</w:t>
      </w:r>
    </w:p>
    <w:p>
      <w:pPr>
        <w:pStyle w:val="Heading1"/>
      </w:pPr>
      <w:r>
        <w:t>Governance</w:t>
      </w:r>
    </w:p>
    <w:p>
      <w:r>
        <w:t>The Founder and designated maintainers remain responsible for approving architecture, standards and releases.</w:t>
      </w:r>
    </w:p>
    <w:p>
      <w:pPr>
        <w:pStyle w:val="Heading1"/>
      </w:pPr>
      <w:r>
        <w:t>Community Standards</w:t>
      </w:r>
    </w:p>
    <w:p>
      <w:r>
        <w:t>Contributors are expected to follow engineering standards, documentation requirements, testing practices and respectful collaboration.</w:t>
      </w:r>
    </w:p>
    <w:p>
      <w:pPr>
        <w:pStyle w:val="Heading1"/>
      </w:pPr>
      <w:r>
        <w:t>Code Ownership</w:t>
      </w:r>
    </w:p>
    <w:p>
      <w:r>
        <w:t>Core platform components are maintained by the SynapseOS maintainers. Ownership of specialised modules may be delegated over time.</w:t>
      </w:r>
    </w:p>
    <w:p>
      <w:pPr>
        <w:pStyle w:val="Heading1"/>
      </w:pPr>
      <w:r>
        <w:t>Intellectual Property</w:t>
      </w:r>
    </w:p>
    <w:p>
      <w:r>
        <w:t>All contributors confirm they have the right to contribute submitted work. Third-party code must comply with licence obligations.</w:t>
      </w:r>
    </w:p>
    <w:p>
      <w:pPr>
        <w:pStyle w:val="Heading1"/>
      </w:pPr>
      <w:r>
        <w:t>Commercial Strategy</w:t>
      </w:r>
    </w:p>
    <w:p>
      <w:r>
        <w:t>Open-source software may be complemented by enterprise support, managed services, consulting, training and commercial plugins.</w:t>
      </w:r>
    </w:p>
    <w:p>
      <w:pPr>
        <w:pStyle w:val="Heading1"/>
      </w:pPr>
      <w:r>
        <w:t>Review Cycle</w:t>
      </w:r>
    </w:p>
    <w:p>
      <w:r>
        <w:t>Review the open-source strategy annually or when project governance changes significantly.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