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GOV-009 – Risk Management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Risk Management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GOV-003, GOV-004, GOV-005, GOV-006, GOV-008</w:t>
            </w:r>
          </w:p>
        </w:tc>
      </w:tr>
    </w:tbl>
    <w:p>
      <w:pPr>
        <w:pStyle w:val="Heading1"/>
      </w:pPr>
      <w:r>
        <w:t>1. Purpose</w:t>
      </w:r>
    </w:p>
    <w:p>
      <w:r>
        <w:t>Define a consistent framework for identifying, assessing, treating, monitoring and communicating risks that could affect SynapseOS.</w:t>
      </w:r>
    </w:p>
    <w:p>
      <w:pPr>
        <w:pStyle w:val="Heading1"/>
      </w:pPr>
      <w:r>
        <w:t>2. Risk Management Objectives</w:t>
      </w:r>
    </w:p>
    <w:p>
      <w:r>
        <w:t>Protect project continuity; reduce avoidable technical failure; identify security and operational threats early; preserve architectural adaptability; support evidence-based decisions; and maintain explicit ownership of material risks.</w:t>
      </w:r>
    </w:p>
    <w:p>
      <w:pPr>
        <w:pStyle w:val="Heading1"/>
      </w:pPr>
      <w:r>
        <w:t>3. Scope</w:t>
      </w:r>
    </w:p>
    <w:p>
      <w:r>
        <w:t>This standard applies to strategic, product, technical, architectural, security, privacy, legal, licensing, operational, financial, dependency, supply-chain, AI-model, data, deployment, continuity and reputational risks.</w:t>
      </w:r>
    </w:p>
    <w:p>
      <w:pPr>
        <w:pStyle w:val="Heading1"/>
      </w:pPr>
      <w:r>
        <w:t>4. Risk Principles</w:t>
      </w:r>
    </w:p>
    <w:p>
      <w:r>
        <w:t>• Risks are recorded rather than kept only in conversation.</w:t>
        <w:br/>
        <w:t>• Material risks have an owner.</w:t>
        <w:br/>
        <w:t>• Treatment effort is proportional to exposure.</w:t>
        <w:br/>
        <w:t>• High-impact irreversible decisions receive greater scrutiny.</w:t>
        <w:br/>
        <w:t>• Residual risk is explicitly accepted, transferred, reduced or avoided.</w:t>
        <w:br/>
        <w:t>• Risks are reviewed throughout the system lifecycle.</w:t>
      </w:r>
    </w:p>
    <w:p>
      <w:pPr>
        <w:pStyle w:val="Heading1"/>
      </w:pPr>
      <w:r>
        <w:t>5. Risk Lifecycle</w:t>
      </w:r>
    </w:p>
    <w:p>
      <w:r>
        <w:t>1. Identify the risk.</w:t>
        <w:br/>
        <w:t>2. Describe cause, event and consequence.</w:t>
        <w:br/>
        <w:t>3. Assign category and owner.</w:t>
        <w:br/>
        <w:t>4. Assess likelihood and impact.</w:t>
        <w:br/>
        <w:t>5. Determine inherent exposure.</w:t>
        <w:br/>
        <w:t>6. Select treatment.</w:t>
        <w:br/>
        <w:t>7. Implement controls.</w:t>
        <w:br/>
        <w:t>8. Assess residual exposure.</w:t>
        <w:br/>
        <w:t>9. Monitor indicators.</w:t>
        <w:br/>
        <w:t>10. Close or escalate.</w:t>
      </w:r>
    </w:p>
    <w:p>
      <w:pPr>
        <w:pStyle w:val="Heading1"/>
      </w:pPr>
      <w:r>
        <w:t>6. Likelihood Scale</w:t>
      </w:r>
    </w:p>
    <w:p>
      <w:r>
        <w:t>1 – Rare: Exceptional circumstances only.</w:t>
        <w:br/>
        <w:t>2 – Unlikely: Possible but not expected.</w:t>
        <w:br/>
        <w:t>3 – Possible: Could occur.</w:t>
        <w:br/>
        <w:t>4 – Likely: Expected in many circumstances.</w:t>
        <w:br/>
        <w:t>5 – Almost Certain: Expected frequently or imminently.</w:t>
      </w:r>
    </w:p>
    <w:p>
      <w:pPr>
        <w:pStyle w:val="Heading1"/>
      </w:pPr>
      <w:r>
        <w:t>7. Impact Scale</w:t>
      </w:r>
    </w:p>
    <w:p>
      <w:r>
        <w:t>1 – Insignificant: Minimal disruption and negligible recovery effort.</w:t>
        <w:br/>
        <w:t>2 – Minor: Limited degradation with straightforward recovery.</w:t>
        <w:br/>
        <w:t>3 – Moderate: Material disruption, rework or delayed milestones.</w:t>
        <w:br/>
        <w:t>4 – Major: Serious security, operational, financial or architectural harm.</w:t>
        <w:br/>
        <w:t>5 – Critical: Threatens project continuity, trust, legal position or core platform viability.</w:t>
      </w:r>
    </w:p>
    <w:p>
      <w:pPr>
        <w:pStyle w:val="Heading1"/>
      </w:pPr>
      <w:r>
        <w:t>8. Risk Scoring</w:t>
      </w:r>
    </w:p>
    <w:p>
      <w:r>
        <w:t>Risk Score = Likelihood × Impact. Scores guide prioritisation but do not replace judgement. A low-likelihood catastrophic risk may still require executive attention.</w:t>
      </w:r>
    </w:p>
    <w:p>
      <w:pPr>
        <w:pStyle w:val="Heading1"/>
      </w:pPr>
      <w:r>
        <w:t>9. Risk Rating Bands</w:t>
      </w:r>
    </w:p>
    <w:p>
      <w:r>
        <w:t>1–4 Low: Monitor through routine controls.</w:t>
        <w:br/>
        <w:t>5–9 Moderate: Assign treatment and review.</w:t>
        <w:br/>
        <w:t>10–16 High: Prioritised mitigation and frequent review.</w:t>
        <w:br/>
        <w:t>17–25 Critical: Immediate escalation; implementation or release may be blocked.</w:t>
      </w:r>
    </w:p>
    <w:p>
      <w:pPr>
        <w:pStyle w:val="Heading1"/>
      </w:pPr>
      <w:r>
        <w:t>10. Treatment Options</w:t>
      </w:r>
    </w:p>
    <w:p>
      <w:r>
        <w:t>Avoid – Stop or redesign the activity.</w:t>
        <w:br/>
        <w:t>Reduce – Introduce controls that lower likelihood or impact.</w:t>
        <w:br/>
        <w:t>Transfer – Shift defined exposure through contracts, insurance or managed services where appropriate.</w:t>
        <w:br/>
        <w:t>Accept – Explicitly retain residual risk with documented rationale.</w:t>
      </w:r>
    </w:p>
    <w:p>
      <w:pPr>
        <w:pStyle w:val="Heading1"/>
      </w:pPr>
      <w:r>
        <w:t>11. Mandatory Risk Categories</w:t>
      </w:r>
    </w:p>
    <w:p>
      <w:r>
        <w:t>Strategic; Architecture; Security; Privacy; AI Provider; Model Behaviour; Data; Dependency and Supply Chain; Availability; Performance; Financial Sustainability; Legal and Licensing; Skills and Key-Person Dependency; Documentation Drift; Deployment; Reputation.</w:t>
      </w:r>
    </w:p>
    <w:p>
      <w:pPr>
        <w:pStyle w:val="Heading1"/>
      </w:pPr>
      <w:r>
        <w:t>12. AI-Specific Risks</w:t>
      </w:r>
    </w:p>
    <w:p>
      <w:r>
        <w:t>SynapseOS must explicitly consider hallucination, prompt injection, unsafe tool execution, model drift, provider outages, provider policy changes, uncontrolled autonomy, hidden model dependencies, data leakage, non-determinism, excessive cost and misleading confidence.</w:t>
      </w:r>
    </w:p>
    <w:p>
      <w:pPr>
        <w:pStyle w:val="Heading1"/>
      </w:pPr>
      <w:r>
        <w:t>13. Architectural Obsolescence Risk</w:t>
      </w:r>
    </w:p>
    <w:p>
      <w:r>
        <w:t>Because AI evolves rapidly, SynapseOS shall reduce obsolescence risk through provider abstraction, replaceable modules, open interfaces, incremental releases, limited irreversible commitments and regular architecture reviews.</w:t>
      </w:r>
    </w:p>
    <w:p>
      <w:pPr>
        <w:pStyle w:val="Heading1"/>
      </w:pPr>
      <w:r>
        <w:t>14. Security Risk Escalation</w:t>
      </w:r>
    </w:p>
    <w:p>
      <w:r>
        <w:t>Suspected credential exposure, unauthorised access, arbitrary code execution, supply-chain compromise, destructive autonomous action or material data leakage must be treated as urgent and may block releases.</w:t>
      </w:r>
    </w:p>
    <w:p>
      <w:pPr>
        <w:pStyle w:val="Heading1"/>
      </w:pPr>
      <w:r>
        <w:t>15. Risk Register Requirements</w:t>
      </w:r>
    </w:p>
    <w:p>
      <w:r>
        <w:t>Each material risk record should contain: Risk ID; title; description; category; cause; consequence; owner; likelihood; impact; inherent score; controls; treatment actions; target date; residual score; status; indicators; review date; related ARCH/RFC/ADR references.</w:t>
      </w:r>
    </w:p>
    <w:p>
      <w:pPr>
        <w:pStyle w:val="Heading1"/>
      </w:pPr>
      <w:r>
        <w:t>16. Risk Ownership</w:t>
      </w:r>
    </w:p>
    <w:p>
      <w:r>
        <w:t>Risk owners are accountable for monitoring and treatment coordination. Ownership does not imply that one person must perform every mitigation task.</w:t>
      </w:r>
    </w:p>
    <w:p>
      <w:pPr>
        <w:pStyle w:val="Heading1"/>
      </w:pPr>
      <w:r>
        <w:t>17. Review Cadence</w:t>
      </w:r>
    </w:p>
    <w:p>
      <w:r>
        <w:t>Critical risks: continuous attention and at least weekly formal review while active.</w:t>
        <w:br/>
        <w:t>High risks: at least monthly.</w:t>
        <w:br/>
        <w:t>Moderate risks: at least quarterly.</w:t>
        <w:br/>
        <w:t>Low risks: at least semi-annually or when conditions change.</w:t>
      </w:r>
    </w:p>
    <w:p>
      <w:pPr>
        <w:pStyle w:val="Heading1"/>
      </w:pPr>
      <w:r>
        <w:t>18. Release Risk</w:t>
      </w:r>
    </w:p>
    <w:p>
      <w:r>
        <w:t>Before a stable release, unresolved high and critical risks must be reviewed explicitly. Acceptance of material residual risk requires recorded approval.</w:t>
      </w:r>
    </w:p>
    <w:p>
      <w:pPr>
        <w:pStyle w:val="Heading1"/>
      </w:pPr>
      <w:r>
        <w:t>19. Risk Communication</w:t>
      </w:r>
    </w:p>
    <w:p>
      <w:r>
        <w:t>Risk reporting shall be concise, factual and decision-oriented. Reports should identify exposure, trend, overdue treatments, blockers and decisions required.</w:t>
      </w:r>
    </w:p>
    <w:p>
      <w:pPr>
        <w:pStyle w:val="Heading1"/>
      </w:pPr>
      <w:r>
        <w:t>20. Initial Strategic Risks</w:t>
      </w:r>
    </w:p>
    <w:p>
      <w:r>
        <w:t>RISK-001 Rapid AI evolution makes architecture obsolete.</w:t>
        <w:br/>
        <w:t>RISK-002 Excessive documentation delays working software.</w:t>
        <w:br/>
        <w:t>RISK-003 Dependence on a single AI provider.</w:t>
        <w:br/>
        <w:t>RISK-004 AI-generated code introduces hidden defects.</w:t>
        <w:br/>
        <w:t>RISK-005 Founder/key-person dependency.</w:t>
        <w:br/>
        <w:t>RISK-006 Scope expansion prevents delivery.</w:t>
        <w:br/>
        <w:t>RISK-007 Security controls lag behind autonomous capabilities.</w:t>
        <w:br/>
        <w:t>RISK-008 Third-party dependency or supply-chain compromise.</w:t>
        <w:br/>
        <w:t>RISK-009 Project costs exceed sustainable funding.</w:t>
        <w:br/>
        <w:t>RISK-010 Documentation diverges from implementation.</w:t>
      </w:r>
    </w:p>
    <w:p>
      <w:pPr>
        <w:pStyle w:val="Heading1"/>
      </w:pPr>
      <w:r>
        <w:t>21. Success Criteria</w:t>
      </w:r>
    </w:p>
    <w:p>
      <w:r>
        <w:t>Risk management is successful when material threats are visible early, owned, treated proportionally, linked to decisions and reviewed before they become incidents.</w:t>
      </w:r>
    </w:p>
    <w:p>
      <w:pPr>
        <w:pStyle w:val="Heading1"/>
      </w:pPr>
      <w:r>
        <w:t>22. Open Questions</w:t>
      </w:r>
    </w:p>
    <w:p>
      <w:r>
        <w:t>• What risk appetite should apply to experimental AI autonomy?</w:t>
        <w:br/>
        <w:t>• Which risks require founder approval for acceptance?</w:t>
        <w:br/>
        <w:t>• When should independent security review become mandatory?</w:t>
        <w:br/>
        <w:t>• Which risk indicators should be automated in SynapseOS itself?</w:t>
      </w:r>
    </w:p>
    <w:p>
      <w:pPr>
        <w:pStyle w:val="Heading1"/>
      </w:pPr>
      <w:r>
        <w:t>Appendix A – Risk Register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Risk ID</w:t>
            </w:r>
          </w:p>
        </w:tc>
        <w:tc>
          <w:tcPr>
            <w:tcW w:type="dxa" w:w="1080"/>
          </w:tcPr>
          <w:p>
            <w:r>
              <w:t>Risk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Likelihood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Treatment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RISK-001</w:t>
            </w:r>
          </w:p>
        </w:tc>
        <w:tc>
          <w:tcPr>
            <w:tcW w:type="dxa" w:w="1080"/>
          </w:tcPr>
          <w:p>
            <w:r>
              <w:t>Architecture obsolescence</w:t>
            </w:r>
          </w:p>
        </w:tc>
        <w:tc>
          <w:tcPr>
            <w:tcW w:type="dxa" w:w="1080"/>
          </w:tcPr>
          <w:p>
            <w:r>
              <w:t>TBD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Reduce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RISK-002</w:t>
            </w:r>
          </w:p>
        </w:tc>
        <w:tc>
          <w:tcPr>
            <w:tcW w:type="dxa" w:w="1080"/>
          </w:tcPr>
          <w:p>
            <w:r>
              <w:t>Documentation delays delivery</w:t>
            </w:r>
          </w:p>
        </w:tc>
        <w:tc>
          <w:tcPr>
            <w:tcW w:type="dxa" w:w="1080"/>
          </w:tcPr>
          <w:p>
            <w:r>
              <w:t>TBD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Reduce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RISK-003</w:t>
            </w:r>
          </w:p>
        </w:tc>
        <w:tc>
          <w:tcPr>
            <w:tcW w:type="dxa" w:w="1080"/>
          </w:tcPr>
          <w:p>
            <w:r>
              <w:t>Single-provider dependency</w:t>
            </w:r>
          </w:p>
        </w:tc>
        <w:tc>
          <w:tcPr>
            <w:tcW w:type="dxa" w:w="1080"/>
          </w:tcPr>
          <w:p>
            <w:r>
              <w:t>TBD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Reduce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0.1.0</w:t>
            </w:r>
          </w:p>
        </w:tc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Denver Jacobs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