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Engineering Manual</w:t>
      </w:r>
    </w:p>
    <w:p>
      <w:pPr>
        <w:jc w:val="center"/>
      </w:pPr>
      <w:r>
        <w:rPr>
          <w:b/>
        </w:rPr>
        <w:t>Volume I – Governance</w:t>
        <w:br/>
      </w:r>
      <w:r>
        <w:t>GOV-010 – Decision Framework</w:t>
        <w:br/>
        <w:t>Version 0.1.0 (Draft)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GOV-010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Decision Framework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Denver Jacobs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2026-07-09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>
              <w:t>2026-07-09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  <w:tr>
        <w:tc>
          <w:tcPr>
            <w:tcW w:type="dxa" w:w="4320"/>
          </w:tcPr>
          <w:p>
            <w:r>
              <w:t>Related Documents</w:t>
            </w:r>
          </w:p>
        </w:tc>
        <w:tc>
          <w:tcPr>
            <w:tcW w:type="dxa" w:w="4320"/>
          </w:tcPr>
          <w:p>
            <w:r>
              <w:t>GOV-001 through GOV-009</w:t>
            </w:r>
          </w:p>
        </w:tc>
      </w:tr>
    </w:tbl>
    <w:p>
      <w:pPr>
        <w:pStyle w:val="Heading1"/>
      </w:pPr>
      <w:r>
        <w:t>1. Purpose</w:t>
      </w:r>
    </w:p>
    <w:p>
      <w:r>
        <w:t>Define a consistent, traceable and proportionate framework for making strategic, product, architectural, engineering, security and operational decisions within SynapseOS.</w:t>
      </w:r>
    </w:p>
    <w:p>
      <w:pPr>
        <w:pStyle w:val="Heading1"/>
      </w:pPr>
      <w:r>
        <w:t>2. Decision Philosophy</w:t>
      </w:r>
    </w:p>
    <w:p>
      <w:r>
        <w:t>Decisions should be made at the lowest appropriate level, using the lightest process that preserves quality and traceability. High-impact, irreversible or security-sensitive decisions require greater evidence and review than low-risk reversible choices.</w:t>
      </w:r>
    </w:p>
    <w:p>
      <w:pPr>
        <w:pStyle w:val="Heading1"/>
      </w:pPr>
      <w:r>
        <w:t>3. Core Principles</w:t>
      </w:r>
    </w:p>
    <w:p>
      <w:r>
        <w:t>• Prefer reversible decisions where possible.</w:t>
        <w:br/>
        <w:t>• Separate facts, assumptions and preferences.</w:t>
        <w:br/>
        <w:t>• Record material decisions.</w:t>
        <w:br/>
        <w:t>• Consider alternatives, including doing nothing.</w:t>
        <w:br/>
        <w:t>• Evaluate long-term architectural cost.</w:t>
        <w:br/>
        <w:t>• Avoid vendor lock-in unless explicitly justified.</w:t>
        <w:br/>
        <w:t>• Escalate uncertainty when consequences are material.</w:t>
        <w:br/>
        <w:t>• Revisit decisions when assumptions change.</w:t>
      </w:r>
    </w:p>
    <w:p>
      <w:pPr>
        <w:pStyle w:val="Heading1"/>
      </w:pPr>
      <w:r>
        <w:t>4. Decision Classes</w:t>
      </w:r>
    </w:p>
    <w:p>
      <w:r>
        <w:t>Class A – Strategic: Mission, product direction, funding, licensing and major partnerships.</w:t>
        <w:br/>
        <w:br/>
        <w:t>Class B – Architectural: System boundaries, core protocols, persistence models and platform-wide technical choices.</w:t>
        <w:br/>
        <w:br/>
        <w:t>Class C – Security/Critical: Trust boundaries, identity, secrets, autonomous execution and high-impact controls.</w:t>
        <w:br/>
        <w:br/>
        <w:t>Class D – Product: User-facing behaviour, roadmap priorities and supported use cases.</w:t>
        <w:br/>
        <w:br/>
        <w:t>Class E – Implementation: Local design and engineering choices within approved architecture.</w:t>
        <w:br/>
        <w:br/>
        <w:t>Class F – Operational: Deployment, monitoring, incident and maintenance choices.</w:t>
      </w:r>
    </w:p>
    <w:p>
      <w:pPr>
        <w:pStyle w:val="Heading1"/>
      </w:pPr>
      <w:r>
        <w:t>5. Decision Authority</w:t>
      </w:r>
    </w:p>
    <w:p>
      <w:r>
        <w:t>Founder/Product Owner retains final authority over strategic product direction. Architectural decisions require architecture review. Security-critical decisions require explicit risk review. Implementation decisions may be delegated when they remain within approved standards and RFCs.</w:t>
      </w:r>
    </w:p>
    <w:p>
      <w:pPr>
        <w:pStyle w:val="Heading1"/>
      </w:pPr>
      <w:r>
        <w:t>6. Decision Triggers</w:t>
      </w:r>
    </w:p>
    <w:p>
      <w:r>
        <w:t>A formal decision record is required when a choice is expensive to reverse, changes public interfaces, introduces a major dependency, affects security or privacy, creates vendor lock-in, changes data ownership, alters governance, affects multiple modules or materially changes project risk.</w:t>
      </w:r>
    </w:p>
    <w:p>
      <w:pPr>
        <w:pStyle w:val="Heading1"/>
      </w:pPr>
      <w:r>
        <w:t>7. Decision Workflow</w:t>
      </w:r>
    </w:p>
    <w:p>
      <w:r>
        <w:t>1. Define the decision question.</w:t>
        <w:br/>
        <w:t>2. Identify decision owner.</w:t>
        <w:br/>
        <w:t>3. Gather relevant evidence.</w:t>
        <w:br/>
        <w:t>4. Record assumptions and constraints.</w:t>
        <w:br/>
        <w:t>5. Identify realistic alternatives.</w:t>
        <w:br/>
        <w:t>6. Evaluate alternatives against agreed criteria.</w:t>
        <w:br/>
        <w:t>7. Assess risk and reversibility.</w:t>
        <w:br/>
        <w:t>8. Select and document the decision.</w:t>
        <w:br/>
        <w:t>9. Obtain required approval.</w:t>
        <w:br/>
        <w:t>10. Implement and monitor outcomes.</w:t>
        <w:br/>
        <w:t>11. Revisit if triggers occur.</w:t>
      </w:r>
    </w:p>
    <w:p>
      <w:pPr>
        <w:pStyle w:val="Heading1"/>
      </w:pPr>
      <w:r>
        <w:t>8. Required Decision Record</w:t>
      </w:r>
    </w:p>
    <w:p>
      <w:r>
        <w:t>Material decisions should capture: Decision ID; title; date; owner; status; context; decision question; assumptions; constraints; alternatives; evaluation criteria; risk assessment; selected option; rationale; consequences; implementation actions; review trigger; related ARCH/RFC/ADR references.</w:t>
      </w:r>
    </w:p>
    <w:p>
      <w:pPr>
        <w:pStyle w:val="Heading1"/>
      </w:pPr>
      <w:r>
        <w:t>9. Evidence Standard</w:t>
      </w:r>
    </w:p>
    <w:p>
      <w:r>
        <w:t>Evidence may include prototypes, benchmarks, threat models, cost estimates, operational data, user research, standards, vendor documentation and experiments. AI-generated analysis is supporting evidence only and must not be treated as verified fact without appropriate review.</w:t>
      </w:r>
    </w:p>
    <w:p>
      <w:pPr>
        <w:pStyle w:val="Heading1"/>
      </w:pPr>
      <w:r>
        <w:t>10. Reversibility Assessment</w:t>
      </w:r>
    </w:p>
    <w:p>
      <w:r>
        <w:t>Type 1 – Hard to Reverse: Requires formal review and stronger evidence.</w:t>
        <w:br/>
        <w:t>Type 2 – Reversible: May use faster delegated decision-making with monitoring.</w:t>
        <w:br/>
        <w:t>The project should avoid turning reversible decisions into irreversible commitments unnecessarily.</w:t>
      </w:r>
    </w:p>
    <w:p>
      <w:pPr>
        <w:pStyle w:val="Heading1"/>
      </w:pPr>
      <w:r>
        <w:t>11. Evaluation Criteria</w:t>
      </w:r>
    </w:p>
    <w:p>
      <w:r>
        <w:t>Typical criteria include strategic alignment, architectural fit, security, privacy, maintainability, interoperability, performance, scalability, reliability, cost, operational burden, portability, testability, observability, contributor accessibility and exit strategy.</w:t>
      </w:r>
    </w:p>
    <w:p>
      <w:pPr>
        <w:pStyle w:val="Heading1"/>
      </w:pPr>
      <w:r>
        <w:t>12. Weighted Decision Matrix</w:t>
      </w:r>
    </w:p>
    <w:p>
      <w:r>
        <w:t>When alternatives are difficult to compare, criteria may be assigned weights and each option scored consistently. The matrix informs judgement but does not automatically determine the decision.</w:t>
      </w:r>
    </w:p>
    <w:p>
      <w:pPr>
        <w:pStyle w:val="Heading1"/>
      </w:pPr>
      <w:r>
        <w:t>13. Architecture Decisions</w:t>
      </w:r>
    </w:p>
    <w:p>
      <w:r>
        <w:t>Significant architecture choices must be recorded as ADRs. An ADR should describe context, decision, alternatives and consequences. Superseded ADRs remain in history rather than being deleted.</w:t>
      </w:r>
    </w:p>
    <w:p>
      <w:pPr>
        <w:pStyle w:val="Heading1"/>
      </w:pPr>
      <w:r>
        <w:t>14. RFC Decisions</w:t>
      </w:r>
    </w:p>
    <w:p>
      <w:r>
        <w:t>RFCs define proposed implementation contracts. Approval indicates that implementation may proceed within the agreed scope; it does not remove testing, security or release obligations.</w:t>
      </w:r>
    </w:p>
    <w:p>
      <w:pPr>
        <w:pStyle w:val="Heading1"/>
      </w:pPr>
      <w:r>
        <w:t>15. AI-Assisted Decision-Making</w:t>
      </w:r>
    </w:p>
    <w:p>
      <w:r>
        <w:t>AI systems may research, challenge assumptions, generate alternatives, model scenarios and draft records. AI must not silently approve its own high-impact actions or fabricate evidence. Human authority remains required where governance specifies approval.</w:t>
      </w:r>
    </w:p>
    <w:p>
      <w:pPr>
        <w:pStyle w:val="Heading1"/>
      </w:pPr>
      <w:r>
        <w:t>16. Disagreement and Escalation</w:t>
      </w:r>
    </w:p>
    <w:p>
      <w:r>
        <w:t>When reviewers disagree, the decision owner records unresolved concerns. Material disagreements involving architecture, security, irreversible cost or project direction are escalated to the appropriate authority.</w:t>
      </w:r>
    </w:p>
    <w:p>
      <w:pPr>
        <w:pStyle w:val="Heading1"/>
      </w:pPr>
      <w:r>
        <w:t>17. Decision Deadlock</w:t>
      </w:r>
    </w:p>
    <w:p>
      <w:r>
        <w:t>If a decision blocks progress, the project may use a time-boxed experiment, reversible interim choice or explicit founder decision. The chosen mechanism and review trigger must be documented.</w:t>
      </w:r>
    </w:p>
    <w:p>
      <w:pPr>
        <w:pStyle w:val="Heading1"/>
      </w:pPr>
      <w:r>
        <w:t>18. Emergency Decisions</w:t>
      </w:r>
    </w:p>
    <w:p>
      <w:r>
        <w:t>Urgent security or availability incidents may justify expedited decisions. Emergency decisions must be documented retrospectively, including rationale, impact and follow-up actions.</w:t>
      </w:r>
    </w:p>
    <w:p>
      <w:pPr>
        <w:pStyle w:val="Heading1"/>
      </w:pPr>
      <w:r>
        <w:t>19. Decision Review Triggers</w:t>
      </w:r>
    </w:p>
    <w:p>
      <w:r>
        <w:t>Review when assumptions become false; costs materially change; a provider or dependency changes; security findings emerge; performance targets are missed; new standards become relevant; or the decision blocks strategic goals.</w:t>
      </w:r>
    </w:p>
    <w:p>
      <w:pPr>
        <w:pStyle w:val="Heading1"/>
      </w:pPr>
      <w:r>
        <w:t>20. Decision Quality Checklist</w:t>
      </w:r>
    </w:p>
    <w:p>
      <w:r>
        <w:t>□ Is the decision question explicit?</w:t>
        <w:br/>
        <w:t>□ Is there a named owner?</w:t>
        <w:br/>
        <w:t>□ Are facts separated from assumptions?</w:t>
        <w:br/>
        <w:t>□ Were realistic alternatives considered?</w:t>
        <w:br/>
        <w:t>□ Was doing nothing considered?</w:t>
        <w:br/>
        <w:t>□ Were security and privacy considered?</w:t>
        <w:br/>
        <w:t>□ Was reversibility assessed?</w:t>
        <w:br/>
        <w:t>□ Were lifecycle and exit costs considered?</w:t>
        <w:br/>
        <w:t>□ Are consequences documented?</w:t>
        <w:br/>
        <w:t>□ Is a review trigger defined?</w:t>
      </w:r>
    </w:p>
    <w:p>
      <w:pPr>
        <w:pStyle w:val="Heading1"/>
      </w:pPr>
      <w:r>
        <w:t>21. Success Criteria</w:t>
      </w:r>
    </w:p>
    <w:p>
      <w:r>
        <w:t>The framework is successful when decisions are timely, proportionate, understandable, traceable and revisable without creating unnecessary bureaucracy.</w:t>
      </w:r>
    </w:p>
    <w:p>
      <w:pPr>
        <w:pStyle w:val="Heading1"/>
      </w:pPr>
      <w:r>
        <w:t>22. Open Questions</w:t>
      </w:r>
    </w:p>
    <w:p>
      <w:r>
        <w:t>• Which decision classes require founder signature?</w:t>
        <w:br/>
        <w:t>• When should external expert review be mandatory?</w:t>
        <w:br/>
        <w:t>• Which decision records should be public?</w:t>
        <w:br/>
        <w:t>• How should SynapseOS eventually automate decision evidence collection without automating authority?</w:t>
      </w:r>
    </w:p>
    <w:p>
      <w:pPr>
        <w:pStyle w:val="Heading1"/>
      </w:pPr>
      <w:r>
        <w:t>Appendix A – Decision Record Template</w:t>
      </w:r>
    </w:p>
    <w:p>
      <w:r>
        <w:t>Decision ID:</w:t>
      </w:r>
    </w:p>
    <w:p>
      <w:r>
        <w:t>Title:</w:t>
      </w:r>
    </w:p>
    <w:p>
      <w:r>
        <w:t>Status:</w:t>
      </w:r>
    </w:p>
    <w:p>
      <w:r>
        <w:t>Owner:</w:t>
      </w:r>
    </w:p>
    <w:p>
      <w:r>
        <w:t>Date:</w:t>
      </w:r>
    </w:p>
    <w:p>
      <w:r>
        <w:t>Decision Question:</w:t>
      </w:r>
    </w:p>
    <w:p>
      <w:r>
        <w:t>Context:</w:t>
      </w:r>
    </w:p>
    <w:p>
      <w:r>
        <w:t>Facts:</w:t>
      </w:r>
    </w:p>
    <w:p>
      <w:r>
        <w:t>Assumptions:</w:t>
      </w:r>
    </w:p>
    <w:p>
      <w:r>
        <w:t>Constraints:</w:t>
      </w:r>
    </w:p>
    <w:p>
      <w:r>
        <w:t>Alternatives:</w:t>
      </w:r>
    </w:p>
    <w:p>
      <w:r>
        <w:t>Evaluation Criteria:</w:t>
      </w:r>
    </w:p>
    <w:p>
      <w:r>
        <w:t>Risk Assessment:</w:t>
      </w:r>
    </w:p>
    <w:p>
      <w:r>
        <w:t>Decision:</w:t>
      </w:r>
    </w:p>
    <w:p>
      <w:r>
        <w:t>Rationale:</w:t>
      </w:r>
    </w:p>
    <w:p>
      <w:r>
        <w:t>Consequences:</w:t>
      </w:r>
    </w:p>
    <w:p>
      <w:r>
        <w:t>Actions:</w:t>
      </w:r>
    </w:p>
    <w:p>
      <w:r>
        <w:t>Review Trigger:</w:t>
      </w:r>
    </w:p>
    <w:p>
      <w:r>
        <w:t>Related ARCH/RFC/ADR:</w:t>
      </w:r>
    </w:p>
    <w:p>
      <w:pPr>
        <w:pStyle w:val="Heading1"/>
      </w:pPr>
      <w:r>
        <w:t>Appendix B – Example Decision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Criterion</w:t>
            </w:r>
          </w:p>
        </w:tc>
        <w:tc>
          <w:tcPr>
            <w:tcW w:type="dxa" w:w="1728"/>
          </w:tcPr>
          <w:p>
            <w:r>
              <w:t>Weight</w:t>
            </w:r>
          </w:p>
        </w:tc>
        <w:tc>
          <w:tcPr>
            <w:tcW w:type="dxa" w:w="1728"/>
          </w:tcPr>
          <w:p>
            <w:r>
              <w:t>Option A</w:t>
            </w:r>
          </w:p>
        </w:tc>
        <w:tc>
          <w:tcPr>
            <w:tcW w:type="dxa" w:w="1728"/>
          </w:tcPr>
          <w:p>
            <w:r>
              <w:t>Option B</w:t>
            </w:r>
          </w:p>
        </w:tc>
        <w:tc>
          <w:tcPr>
            <w:tcW w:type="dxa" w:w="1728"/>
          </w:tcPr>
          <w:p>
            <w:r>
              <w:t>Option C</w:t>
            </w:r>
          </w:p>
        </w:tc>
      </w:tr>
      <w:tr>
        <w:tc>
          <w:tcPr>
            <w:tcW w:type="dxa" w:w="1728"/>
          </w:tcPr>
          <w:p>
            <w:r>
              <w:t>Architectural Fit</w:t>
            </w:r>
          </w:p>
        </w:tc>
        <w:tc>
          <w:tcPr>
            <w:tcW w:type="dxa" w:w="1728"/>
          </w:tcPr>
          <w:p>
            <w:r>
              <w:t>25%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Security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Maintainability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Cost</w:t>
            </w:r>
          </w:p>
        </w:tc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Exit Strategy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0.1.0</w:t>
            </w:r>
          </w:p>
        </w:tc>
        <w:tc>
          <w:tcPr>
            <w:tcW w:type="dxa" w:w="2160"/>
          </w:tcPr>
          <w:p>
            <w:r>
              <w:t>2026-07-09</w:t>
            </w:r>
          </w:p>
        </w:tc>
        <w:tc>
          <w:tcPr>
            <w:tcW w:type="dxa" w:w="2160"/>
          </w:tcPr>
          <w:p>
            <w:r>
              <w:t>Denver Jacobs</w:t>
            </w:r>
          </w:p>
        </w:tc>
        <w:tc>
          <w:tcPr>
            <w:tcW w:type="dxa" w:w="2160"/>
          </w:tcPr>
          <w:p>
            <w:r>
              <w:t>Initial draft</w:t>
            </w:r>
          </w:p>
        </w:tc>
      </w:tr>
    </w:tbl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Architecture Review: ____________________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