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RFC-0001 – SynapseOS System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RFC-0001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SynapseOS System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RFC-0001 for SynapseOS System Architecture.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the top-level implementable architecture of SynapseOS and the boundaries within which all subsequent components SHALL evolve.</w:t>
      </w:r>
    </w:p>
    <w:p>
      <w:pPr>
        <w:pStyle w:val="Heading1"/>
      </w:pPr>
      <w:r>
        <w:t>2. Problem Statement</w:t>
      </w:r>
    </w:p>
    <w:p>
      <w:r>
        <w:t>SynapseOS requires a stable system contract that prevents models, agents, plugins, storage technologies and deployment choices from becoming the architecture itself.</w:t>
      </w:r>
    </w:p>
    <w:p>
      <w:pPr>
        <w:pStyle w:val="Heading1"/>
      </w:pPr>
      <w:r>
        <w:t>3. Goals</w:t>
      </w:r>
    </w:p>
    <w:p>
      <w:r>
        <w:t>Create a local-first, modular, observable, secure, replaceable and evolvable intelligence operating system with explicit control over identity, capability, execution, memory and knowledge.</w:t>
      </w:r>
    </w:p>
    <w:p>
      <w:pPr>
        <w:pStyle w:val="Heading1"/>
      </w:pPr>
      <w:r>
        <w:t>4. Non-Goals</w:t>
      </w:r>
    </w:p>
    <w:p>
      <w:r>
        <w:t>This RFC does not select every implementation language, database, model provider, UI framework or future research capability.</w:t>
      </w:r>
    </w:p>
    <w:p>
      <w:pPr>
        <w:pStyle w:val="Heading1"/>
      </w:pPr>
      <w:r>
        <w:t>5. Architectural Planes</w:t>
      </w:r>
    </w:p>
    <w:p>
      <w:r>
        <w:t>Define Control Plane, Execution Plane, Intelligence Plane, Data Plane and Observability Plane. Cross-plane calls use explicit contracts.</w:t>
      </w:r>
    </w:p>
    <w:p>
      <w:pPr>
        <w:pStyle w:val="Heading1"/>
      </w:pPr>
      <w:r>
        <w:t>6. Control Plane</w:t>
      </w:r>
    </w:p>
    <w:p>
      <w:r>
        <w:t>Owns configuration, identity, capability policy, lifecycle, registry, approvals and administrative control.</w:t>
      </w:r>
    </w:p>
    <w:p>
      <w:pPr>
        <w:pStyle w:val="Heading1"/>
      </w:pPr>
      <w:r>
        <w:t>7. Execution Plane</w:t>
      </w:r>
    </w:p>
    <w:p>
      <w:r>
        <w:t>Runs bounded tasks, processes, tools, workflows and agent actions. It SHALL not invent authority.</w:t>
      </w:r>
    </w:p>
    <w:p>
      <w:pPr>
        <w:pStyle w:val="Heading1"/>
      </w:pPr>
      <w:r>
        <w:t>8. Intelligence Plane</w:t>
      </w:r>
    </w:p>
    <w:p>
      <w:r>
        <w:t>Hosts model abstraction, reasoning, planning, reflection and cognitive modules. Intelligence outputs are proposals until authorised execution.</w:t>
      </w:r>
    </w:p>
    <w:p>
      <w:pPr>
        <w:pStyle w:val="Heading1"/>
      </w:pPr>
      <w:r>
        <w:t>9. Data Plane</w:t>
      </w:r>
    </w:p>
    <w:p>
      <w:r>
        <w:t>Owns durable state, memory, knowledge, event persistence, artifacts and derived indexes.</w:t>
      </w:r>
    </w:p>
    <w:p>
      <w:pPr>
        <w:pStyle w:val="Heading1"/>
      </w:pPr>
      <w:r>
        <w:t>10. Observability Plane</w:t>
      </w:r>
    </w:p>
    <w:p>
      <w:r>
        <w:t>Collects logs, metrics, traces, audit events and operational evidence across planes.</w:t>
      </w:r>
    </w:p>
    <w:p>
      <w:pPr>
        <w:pStyle w:val="Heading1"/>
      </w:pPr>
      <w:r>
        <w:t>11. Kernel Boundary</w:t>
      </w:r>
    </w:p>
    <w:p>
      <w:r>
        <w:t>The kernel coordinates lifecycle, registries, execution context and core contracts. It SHALL remain smaller than the total platform and avoid domain-specific intelligence.</w:t>
      </w:r>
    </w:p>
    <w:p>
      <w:pPr>
        <w:pStyle w:val="Heading1"/>
      </w:pPr>
      <w:r>
        <w:t>12. Core Components</w:t>
      </w:r>
    </w:p>
    <w:p>
      <w:r>
        <w:t>Kernel, Scheduler, Event Bus, Identity Service, Capability Service, Tool Gateway, Configuration Service, Plugin Runtime, Memory Service, Knowledge Service, Model Abstraction Layer and Observability.</w:t>
      </w:r>
    </w:p>
    <w:p>
      <w:pPr>
        <w:pStyle w:val="Heading1"/>
      </w:pPr>
      <w:r>
        <w:t>13. Dependency Rule</w:t>
      </w:r>
    </w:p>
    <w:p>
      <w:r>
        <w:t>Higher-level cognitive modules MAY depend on stable platform contracts; core platform components MUST NOT depend on domain plugins.</w:t>
      </w:r>
    </w:p>
    <w:p>
      <w:pPr>
        <w:pStyle w:val="Heading1"/>
      </w:pPr>
      <w:r>
        <w:t>14. Trust Boundaries</w:t>
      </w:r>
    </w:p>
    <w:p>
      <w:r>
        <w:t>Explicit boundaries exist between user input, retrieved content, models, agents, plugins, tools, external providers, tenants and privileged control services.</w:t>
      </w:r>
    </w:p>
    <w:p>
      <w:pPr>
        <w:pStyle w:val="Heading1"/>
      </w:pPr>
      <w:r>
        <w:t>15. Identity Context</w:t>
      </w:r>
    </w:p>
    <w:p>
      <w:r>
        <w:t>Every consequential operation carries effective principal, tenant/namespace, run/task, correlation and capability context.</w:t>
      </w:r>
    </w:p>
    <w:p>
      <w:pPr>
        <w:pStyle w:val="Heading1"/>
      </w:pPr>
      <w:r>
        <w:t>16. Execution Context</w:t>
      </w:r>
    </w:p>
    <w:p>
      <w:r>
        <w:t>Canonical execution context SHALL include IDs, deadlines, budgets, cancellation, policy references and observability correlation.</w:t>
      </w:r>
    </w:p>
    <w:p>
      <w:pPr>
        <w:pStyle w:val="Heading1"/>
      </w:pPr>
      <w:r>
        <w:t>17. Local-First Model</w:t>
      </w:r>
    </w:p>
    <w:p>
      <w:r>
        <w:t>The reference bootstrap SHALL run on a single developer workstation or affordable server without requiring a hyperscale cloud.</w:t>
      </w:r>
    </w:p>
    <w:p>
      <w:pPr>
        <w:pStyle w:val="Heading1"/>
      </w:pPr>
      <w:r>
        <w:t>18. Scale-Out Model</w:t>
      </w:r>
    </w:p>
    <w:p>
      <w:r>
        <w:t>Contracts SHALL permit later distribution of scheduler, bus, storage and services without rewriting application semantics.</w:t>
      </w:r>
    </w:p>
    <w:p>
      <w:pPr>
        <w:pStyle w:val="Heading1"/>
      </w:pPr>
      <w:r>
        <w:t>19. Technology Neutrality</w:t>
      </w:r>
    </w:p>
    <w:p>
      <w:r>
        <w:t>Architecture contracts define semantics first. Technology choices require ADRs and implementation RFCs.</w:t>
      </w:r>
    </w:p>
    <w:p>
      <w:pPr>
        <w:pStyle w:val="Heading1"/>
      </w:pPr>
      <w:r>
        <w:t>20. Boot Sequence</w:t>
      </w:r>
    </w:p>
    <w:p>
      <w:r>
        <w:t>Load bootstrap config; initialise observability; establish identity/policy core; initialise registries; start eventing; start scheduler/execution; load approved plugins; expose interfaces; declare readiness.</w:t>
      </w:r>
    </w:p>
    <w:p>
      <w:pPr>
        <w:pStyle w:val="Heading1"/>
      </w:pPr>
      <w:r>
        <w:t>21. Shutdown Sequence</w:t>
      </w:r>
    </w:p>
    <w:p>
      <w:r>
        <w:t>Stop new work; revoke/close admission; cancel or checkpoint bounded work; drain queues where safe; flush evidence; close stores; stop services in dependency order.</w:t>
      </w:r>
    </w:p>
    <w:p>
      <w:pPr>
        <w:pStyle w:val="Heading1"/>
      </w:pPr>
      <w:r>
        <w:t>22. Failure Boundaries</w:t>
      </w:r>
    </w:p>
    <w:p>
      <w:r>
        <w:t>Components SHALL fail without silently broadening authority. Critical control-plane failure defaults to safe denial for consequential actions.</w:t>
      </w:r>
    </w:p>
    <w:p>
      <w:pPr>
        <w:pStyle w:val="Heading1"/>
      </w:pPr>
      <w:r>
        <w:t>23. State Ownership</w:t>
      </w:r>
    </w:p>
    <w:p>
      <w:r>
        <w:t>Each authoritative state domain has one declared owner and write contract.</w:t>
      </w:r>
    </w:p>
    <w:p>
      <w:pPr>
        <w:pStyle w:val="Heading1"/>
      </w:pPr>
      <w:r>
        <w:t>24. Messaging</w:t>
      </w:r>
    </w:p>
    <w:p>
      <w:r>
        <w:t>Commands, events and queries are distinct. Distributed delivery semantics follow RFC-0005.</w:t>
      </w:r>
    </w:p>
    <w:p>
      <w:pPr>
        <w:pStyle w:val="Heading1"/>
      </w:pPr>
      <w:r>
        <w:t>25. Security</w:t>
      </w:r>
    </w:p>
    <w:p>
      <w:r>
        <w:t>Identity and capability checks occur at enforcement boundaries; prompts are not access control.</w:t>
      </w:r>
    </w:p>
    <w:p>
      <w:pPr>
        <w:pStyle w:val="Heading1"/>
      </w:pPr>
      <w:r>
        <w:t>26. Extensibility</w:t>
      </w:r>
    </w:p>
    <w:p>
      <w:r>
        <w:t>Plugins extend through versioned contracts and explicit capabilities; no unrestricted kernel mutation.</w:t>
      </w:r>
    </w:p>
    <w:p>
      <w:pPr>
        <w:pStyle w:val="Heading1"/>
      </w:pPr>
      <w:r>
        <w:t>27. Compatibility</w:t>
      </w:r>
    </w:p>
    <w:p>
      <w:r>
        <w:t>Public core contracts SHALL be versioned. Breaking changes require migration and deprecation.</w:t>
      </w:r>
    </w:p>
    <w:p>
      <w:pPr>
        <w:pStyle w:val="Heading1"/>
      </w:pPr>
      <w:r>
        <w:t>28. Reference Repository Mapping</w:t>
      </w:r>
    </w:p>
    <w:p>
      <w:r>
        <w:t>architecture/ contains system specification; rfcs/ implementation contracts; adrs/ decisions; kernel/ core runtime; sdk/ developer contracts; plugins/ extensions; modules/ intelligence/domain modules; tests/ conformance and system tests.</w:t>
      </w:r>
    </w:p>
    <w:p>
      <w:pPr>
        <w:pStyle w:val="Heading1"/>
      </w:pPr>
      <w:r>
        <w:t>29. Acceptance Criteria</w:t>
      </w:r>
    </w:p>
    <w:p>
      <w:r>
        <w:t>A prototype conforming to this RFC can boot, identify principals, evaluate capabilities, schedule bounded work, publish events, execute a registered safe tool, load a plugin, persist state and emit correlated evidence.</w:t>
      </w:r>
    </w:p>
    <w:p>
      <w:pPr>
        <w:pStyle w:val="Heading1"/>
      </w:pPr>
      <w:r>
        <w:t>30. Security Considerations</w:t>
      </w:r>
    </w:p>
    <w:p>
      <w:r>
        <w:t>Protect control-plane interfaces, prevent cross-tenant context confusion, enforce deny-by-default and treat all model/retrieval/plugin content as untrusted.</w:t>
      </w:r>
    </w:p>
    <w:p>
      <w:pPr>
        <w:pStyle w:val="Heading1"/>
      </w:pPr>
      <w:r>
        <w:t>31. Migration and Evolution</w:t>
      </w:r>
    </w:p>
    <w:p>
      <w:r>
        <w:t>Begin as modular monolith where economical; split components only when measured scaling, isolation or operational needs justify it.</w:t>
      </w:r>
    </w:p>
    <w:p>
      <w:pPr>
        <w:pStyle w:val="Heading1"/>
      </w:pPr>
      <w:r>
        <w:t>32. Open Questions</w:t>
      </w:r>
    </w:p>
    <w:p>
      <w:r>
        <w:t>Primary implementation language; first process boundary; canonical serialization; initial database; first event-bus implementation.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