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RFC Library</w:t>
      </w:r>
    </w:p>
    <w:p>
      <w:pPr>
        <w:jc w:val="center"/>
      </w:pPr>
      <w:r>
        <w:rPr>
          <w:b/>
        </w:rPr>
        <w:t>Volume III – Implementation Contracts</w:t>
        <w:br/>
      </w:r>
      <w:r>
        <w:t>RFC-0002 – Kernel Architecture</w:t>
        <w:br/>
        <w:t>Version 0.1.0 (Draft)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Document ID</w:t>
            </w:r>
          </w:p>
        </w:tc>
        <w:tc>
          <w:tcPr>
            <w:tcW w:type="dxa" w:w="4968"/>
          </w:tcPr>
          <w:p>
            <w:r>
              <w:t>RFC-0002</w:t>
            </w:r>
          </w:p>
        </w:tc>
      </w:tr>
      <w:tr>
        <w:tc>
          <w:tcPr>
            <w:tcW w:type="dxa" w:w="4968"/>
          </w:tcPr>
          <w:p>
            <w:r>
              <w:t>Title</w:t>
            </w:r>
          </w:p>
        </w:tc>
        <w:tc>
          <w:tcPr>
            <w:tcW w:type="dxa" w:w="4968"/>
          </w:tcPr>
          <w:p>
            <w:r>
              <w:t>Kernel Architecture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0.1.0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Draft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Denver Jacobs</w:t>
            </w:r>
          </w:p>
        </w:tc>
      </w:tr>
      <w:tr>
        <w:tc>
          <w:tcPr>
            <w:tcW w:type="dxa" w:w="4968"/>
          </w:tcPr>
          <w:p>
            <w:r>
              <w:t>Reviewers</w:t>
            </w:r>
          </w:p>
        </w:tc>
        <w:tc>
          <w:tcPr>
            <w:tcW w:type="dxa" w:w="4968"/>
          </w:tcPr>
          <w:p>
            <w:r>
              <w:t>TBD</w:t>
            </w:r>
          </w:p>
        </w:tc>
      </w:tr>
      <w:tr>
        <w:tc>
          <w:tcPr>
            <w:tcW w:type="dxa" w:w="4968"/>
          </w:tcPr>
          <w:p>
            <w:r>
              <w:t>Created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Last Updated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Classification</w:t>
            </w:r>
          </w:p>
        </w:tc>
        <w:tc>
          <w:tcPr>
            <w:tcW w:type="dxa" w:w="4968"/>
          </w:tcPr>
          <w:p>
            <w:r>
              <w:t>Public</w:t>
            </w:r>
          </w:p>
        </w:tc>
      </w:tr>
      <w:tr>
        <w:tc>
          <w:tcPr>
            <w:tcW w:type="dxa" w:w="4968"/>
          </w:tcPr>
          <w:p>
            <w:r>
              <w:t>Target</w:t>
            </w:r>
          </w:p>
        </w:tc>
        <w:tc>
          <w:tcPr>
            <w:tcW w:type="dxa" w:w="4968"/>
          </w:tcPr>
          <w:p>
            <w:r>
              <w:t>SynapseOS Reference Architecture</w:t>
            </w:r>
          </w:p>
        </w:tc>
      </w:tr>
      <w:tr>
        <w:tc>
          <w:tcPr>
            <w:tcW w:type="dxa" w:w="4968"/>
          </w:tcPr>
          <w:p>
            <w:r>
              <w:t>Requires</w:t>
            </w:r>
          </w:p>
        </w:tc>
        <w:tc>
          <w:tcPr>
            <w:tcW w:type="dxa" w:w="4968"/>
          </w:tcPr>
          <w:p>
            <w:r>
              <w:t>Applicable GOV and STD documents</w:t>
            </w:r>
          </w:p>
        </w:tc>
      </w:tr>
      <w:tr>
        <w:tc>
          <w:tcPr>
            <w:tcW w:type="dxa" w:w="4968"/>
          </w:tcPr>
          <w:p>
            <w:r>
              <w:t>Supersedes</w:t>
            </w:r>
          </w:p>
        </w:tc>
        <w:tc>
          <w:tcPr>
            <w:tcW w:type="dxa" w:w="4968"/>
          </w:tcPr>
          <w:p>
            <w:r>
              <w:t>None</w:t>
            </w:r>
          </w:p>
        </w:tc>
      </w:tr>
    </w:tbl>
    <w:p>
      <w:pPr>
        <w:pStyle w:val="Heading1"/>
      </w:pPr>
      <w:r>
        <w:t>RFC Status and Normative Language</w:t>
      </w:r>
    </w:p>
    <w:p>
      <w:r>
        <w:t>This document is a Draft implementation contract. SHALL and MUST denote mandatory conformance requirements; SHOULD denotes a recommended requirement requiring justification when omitted; MAY denotes an optional capability.</w:t>
      </w:r>
    </w:p>
    <w:p>
      <w:pPr>
        <w:pStyle w:val="Heading1"/>
      </w:pPr>
      <w:r>
        <w:t>Decision Summary</w:t>
      </w:r>
    </w:p>
    <w:p>
      <w:r>
        <w:t>Adopt the architecture and contracts defined by RFC-0002 for Kernel Architecture. Implementation SHALL remain consistent with approved governance, standards and later accepted amendments.</w:t>
      </w:r>
    </w:p>
    <w:p>
      <w:pPr>
        <w:pStyle w:val="Heading1"/>
      </w:pPr>
      <w:r>
        <w:t>1. Abstract</w:t>
      </w:r>
    </w:p>
    <w:p>
      <w:r>
        <w:t>Defines the minimal SynapseOS kernel, its responsibilities, interfaces, lifecycle and invariants.</w:t>
      </w:r>
    </w:p>
    <w:p>
      <w:pPr>
        <w:pStyle w:val="Heading1"/>
      </w:pPr>
      <w:r>
        <w:t>2. Kernel Philosophy</w:t>
      </w:r>
    </w:p>
    <w:p>
      <w:r>
        <w:t>The kernel coordinates trusted platform mechanics; it is not an LLM, chatbot, business workflow engine or domain application.</w:t>
      </w:r>
    </w:p>
    <w:p>
      <w:pPr>
        <w:pStyle w:val="Heading1"/>
      </w:pPr>
      <w:r>
        <w:t>3. Responsibilities</w:t>
      </w:r>
    </w:p>
    <w:p>
      <w:r>
        <w:t>Lifecycle, component registry, service resolution, execution-context propagation, cancellation, health, core event hooks and policy-enforcement integration.</w:t>
      </w:r>
    </w:p>
    <w:p>
      <w:pPr>
        <w:pStyle w:val="Heading1"/>
      </w:pPr>
      <w:r>
        <w:t>4. Non-Responsibilities</w:t>
      </w:r>
    </w:p>
    <w:p>
      <w:r>
        <w:t>Domain logic, model-specific reasoning, user-interface rendering, arbitrary plugin code and business-specific data.</w:t>
      </w:r>
    </w:p>
    <w:p>
      <w:pPr>
        <w:pStyle w:val="Heading1"/>
      </w:pPr>
      <w:r>
        <w:t>5. Kernel Invariants</w:t>
      </w:r>
    </w:p>
    <w:p>
      <w:r>
        <w:t>No action without execution context; no implicit global authority; component IDs are stable; lifecycle transitions are observable; shutdown is bounded.</w:t>
      </w:r>
    </w:p>
    <w:p>
      <w:pPr>
        <w:pStyle w:val="Heading1"/>
      </w:pPr>
      <w:r>
        <w:t>6. Component Model</w:t>
      </w:r>
    </w:p>
    <w:p>
      <w:r>
        <w:t>Kernel components implement declared ID, version, dependencies, lifecycle hooks, health and optional capabilities.</w:t>
      </w:r>
    </w:p>
    <w:p>
      <w:pPr>
        <w:pStyle w:val="Heading1"/>
      </w:pPr>
      <w:r>
        <w:t>7. Lifecycle States</w:t>
      </w:r>
    </w:p>
    <w:p>
      <w:r>
        <w:t>Registered, Initialising, Ready, Degraded, Stopping, Stopped and Failed.</w:t>
      </w:r>
    </w:p>
    <w:p>
      <w:pPr>
        <w:pStyle w:val="Heading1"/>
      </w:pPr>
      <w:r>
        <w:t>8. Dependency Graph</w:t>
      </w:r>
    </w:p>
    <w:p>
      <w:r>
        <w:t>Kernel SHALL validate dependencies, reject unresolved required dependencies and detect cycles before readiness.</w:t>
      </w:r>
    </w:p>
    <w:p>
      <w:pPr>
        <w:pStyle w:val="Heading1"/>
      </w:pPr>
      <w:r>
        <w:t>9. Registry</w:t>
      </w:r>
    </w:p>
    <w:p>
      <w:r>
        <w:t>Maintain component descriptors and runtime instances without allowing arbitrary replacement of protected core services.</w:t>
      </w:r>
    </w:p>
    <w:p>
      <w:pPr>
        <w:pStyle w:val="Heading1"/>
      </w:pPr>
      <w:r>
        <w:t>10. Service Resolution</w:t>
      </w:r>
    </w:p>
    <w:p>
      <w:r>
        <w:t>Use explicit interfaces and scoped resolution; avoid hidden global service locators in domain code.</w:t>
      </w:r>
    </w:p>
    <w:p>
      <w:pPr>
        <w:pStyle w:val="Heading1"/>
      </w:pPr>
      <w:r>
        <w:t>11. Execution Context</w:t>
      </w:r>
    </w:p>
    <w:p>
      <w:r>
        <w:t>Propagate principal, tenant, run, task, correlation, deadline, cancellation and budget.</w:t>
      </w:r>
    </w:p>
    <w:p>
      <w:pPr>
        <w:pStyle w:val="Heading1"/>
      </w:pPr>
      <w:r>
        <w:t>12. Cancellation</w:t>
      </w:r>
    </w:p>
    <w:p>
      <w:r>
        <w:t>Use cooperative cancellation with hard containment at process boundaries where needed.</w:t>
      </w:r>
    </w:p>
    <w:p>
      <w:pPr>
        <w:pStyle w:val="Heading1"/>
      </w:pPr>
      <w:r>
        <w:t>13. Health</w:t>
      </w:r>
    </w:p>
    <w:p>
      <w:r>
        <w:t>Expose liveness, readiness and degradation separately.</w:t>
      </w:r>
    </w:p>
    <w:p>
      <w:pPr>
        <w:pStyle w:val="Heading1"/>
      </w:pPr>
      <w:r>
        <w:t>14. Kernel Events</w:t>
      </w:r>
    </w:p>
    <w:p>
      <w:r>
        <w:t>Emit lifecycle events with stable schemas.</w:t>
      </w:r>
    </w:p>
    <w:p>
      <w:pPr>
        <w:pStyle w:val="Heading1"/>
      </w:pPr>
      <w:r>
        <w:t>15. Error Model</w:t>
      </w:r>
    </w:p>
    <w:p>
      <w:r>
        <w:t>Use typed error categories and preserve causal chains without leaking secrets.</w:t>
      </w:r>
    </w:p>
    <w:p>
      <w:pPr>
        <w:pStyle w:val="Heading1"/>
      </w:pPr>
      <w:r>
        <w:t>16. Concurrency</w:t>
      </w:r>
    </w:p>
    <w:p>
      <w:r>
        <w:t>Protect shared registries and lifecycle transitions; avoid blocking kernel control paths on model calls.</w:t>
      </w:r>
    </w:p>
    <w:p>
      <w:pPr>
        <w:pStyle w:val="Heading1"/>
      </w:pPr>
      <w:r>
        <w:t>17. Persistence</w:t>
      </w:r>
    </w:p>
    <w:p>
      <w:r>
        <w:t>Kernel core SHOULD minimise durable state and delegate authoritative storage to owned services.</w:t>
      </w:r>
    </w:p>
    <w:p>
      <w:pPr>
        <w:pStyle w:val="Heading1"/>
      </w:pPr>
      <w:r>
        <w:t>18. Configuration</w:t>
      </w:r>
    </w:p>
    <w:p>
      <w:r>
        <w:t>Bootstrap configuration is minimal; runtime configuration follows RFC-0009.</w:t>
      </w:r>
    </w:p>
    <w:p>
      <w:pPr>
        <w:pStyle w:val="Heading1"/>
      </w:pPr>
      <w:r>
        <w:t>19. Security Boundary</w:t>
      </w:r>
    </w:p>
    <w:p>
      <w:r>
        <w:t>Kernel APIs are privileged. Plugins interact through constrained extension interfaces.</w:t>
      </w:r>
    </w:p>
    <w:p>
      <w:pPr>
        <w:pStyle w:val="Heading1"/>
      </w:pPr>
      <w:r>
        <w:t>20. Plugin Interaction</w:t>
      </w:r>
    </w:p>
    <w:p>
      <w:r>
        <w:t>Kernel loads only approved plugin descriptors through RFC-0010 mechanisms.</w:t>
      </w:r>
    </w:p>
    <w:p>
      <w:pPr>
        <w:pStyle w:val="Heading1"/>
      </w:pPr>
      <w:r>
        <w:t>21. Boot Algorithm</w:t>
      </w:r>
    </w:p>
    <w:p>
      <w:r>
        <w:t>Validate bootstrap; create root runtime context; initialise protected services; resolve graph; start in topological order; run readiness checks; admit work.</w:t>
      </w:r>
    </w:p>
    <w:p>
      <w:pPr>
        <w:pStyle w:val="Heading1"/>
      </w:pPr>
      <w:r>
        <w:t>22. Shutdown Algorithm</w:t>
      </w:r>
    </w:p>
    <w:p>
      <w:r>
        <w:t>Close admission; signal cancellation; stop dependents before dependencies; flush audit evidence; enforce timeout; report incomplete shutdown.</w:t>
      </w:r>
    </w:p>
    <w:p>
      <w:pPr>
        <w:pStyle w:val="Heading1"/>
      </w:pPr>
      <w:r>
        <w:t>23. Crash Recovery</w:t>
      </w:r>
    </w:p>
    <w:p>
      <w:r>
        <w:t>Do not assume clean shutdown. Durable services reconcile independently.</w:t>
      </w:r>
    </w:p>
    <w:p>
      <w:pPr>
        <w:pStyle w:val="Heading1"/>
      </w:pPr>
      <w:r>
        <w:t>24. Testing</w:t>
      </w:r>
    </w:p>
    <w:p>
      <w:r>
        <w:t>Lifecycle, dependency cycle, failed init, degraded service, cancellation, concurrent registration and shutdown timeout.</w:t>
      </w:r>
    </w:p>
    <w:p>
      <w:pPr>
        <w:pStyle w:val="Heading1"/>
      </w:pPr>
      <w:r>
        <w:t>25. Reference API</w:t>
      </w:r>
    </w:p>
    <w:p>
      <w:r>
        <w:t>Define IKernel, IComponent, IComponentRegistry, IExecutionContext and IHealthContributor as language-neutral contracts.</w:t>
      </w:r>
    </w:p>
    <w:p>
      <w:pPr>
        <w:pStyle w:val="Heading1"/>
      </w:pPr>
      <w:r>
        <w:t>26. Acceptance Criteria</w:t>
      </w:r>
    </w:p>
    <w:p>
      <w:r>
        <w:t>Kernel can start a dependency graph, reject cycles, propagate context, cancel a task, expose health and stop deterministically.</w:t>
      </w:r>
    </w:p>
    <w:p>
      <w:pPr>
        <w:pStyle w:val="Heading1"/>
      </w:pPr>
      <w:r>
        <w:t>27. Open Questions</w:t>
      </w:r>
    </w:p>
    <w:p>
      <w:r>
        <w:t>In-process first implementation language; dependency-injection library versus minimal internal container; protected service list.</w:t>
      </w:r>
    </w:p>
    <w:p>
      <w:pPr>
        <w:pStyle w:val="Heading1"/>
      </w:pPr>
      <w:r>
        <w:t>Conformance Requirements</w:t>
      </w:r>
    </w:p>
    <w:p>
      <w:r>
        <w:t>□ Implementation identifies the RFC version it targets.</w:t>
      </w:r>
    </w:p>
    <w:p>
      <w:r>
        <w:t>□ Mandatory interfaces and invariants are tested.</w:t>
      </w:r>
    </w:p>
    <w:p>
      <w:r>
        <w:t>□ Security boundaries are enforced outside model prompts.</w:t>
      </w:r>
    </w:p>
    <w:p>
      <w:r>
        <w:t>□ Failure and negative paths are covered.</w:t>
      </w:r>
    </w:p>
    <w:p>
      <w:r>
        <w:t>□ Observability evidence is available.</w:t>
      </w:r>
    </w:p>
    <w:p>
      <w:r>
        <w:t>□ Deviations are documented through ADR/RFC governance.</w:t>
      </w:r>
    </w:p>
    <w:p>
      <w:r>
        <w:t>□ No implementation claim is accepted without executable or reviewable evidence.</w:t>
      </w:r>
    </w:p>
    <w:p>
      <w:pPr>
        <w:pStyle w:val="Heading1"/>
      </w:pPr>
      <w:r>
        <w:t>Implementation Plan</w:t>
      </w:r>
    </w:p>
    <w:p>
      <w:r>
        <w:t>Phase A – Create interfaces, schemas and conformance tests.</w:t>
      </w:r>
    </w:p>
    <w:p>
      <w:r>
        <w:t>Phase B – Build the smallest local reference implementation.</w:t>
      </w:r>
    </w:p>
    <w:p>
      <w:r>
        <w:t>Phase C – Execute negative, failure and security tests.</w:t>
      </w:r>
    </w:p>
    <w:p>
      <w:r>
        <w:t>Phase D – Integrate with dependent accepted RFCs.</w:t>
      </w:r>
    </w:p>
    <w:p>
      <w:r>
        <w:t>Phase E – Record ADRs for technology choices.</w:t>
      </w:r>
    </w:p>
    <w:p>
      <w:r>
        <w:t>Phase F – Review evidence before changing RFC status.</w:t>
      </w:r>
    </w:p>
    <w:p>
      <w:pPr>
        <w:pStyle w:val="Heading1"/>
      </w:pPr>
      <w:r>
        <w:t>Change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Version</w:t>
            </w:r>
          </w:p>
        </w:tc>
        <w:tc>
          <w:tcPr>
            <w:tcW w:type="dxa" w:w="2484"/>
          </w:tcPr>
          <w:p>
            <w:r>
              <w:t>Date</w:t>
            </w:r>
          </w:p>
        </w:tc>
        <w:tc>
          <w:tcPr>
            <w:tcW w:type="dxa" w:w="2484"/>
          </w:tcPr>
          <w:p>
            <w:r>
              <w:t>Author</w:t>
            </w:r>
          </w:p>
        </w:tc>
        <w:tc>
          <w:tcPr>
            <w:tcW w:type="dxa" w:w="2484"/>
          </w:tcPr>
          <w:p>
            <w:r>
              <w:t>Change</w:t>
            </w:r>
          </w:p>
        </w:tc>
      </w:tr>
      <w:tr>
        <w:tc>
          <w:tcPr>
            <w:tcW w:type="dxa" w:w="2484"/>
          </w:tcPr>
          <w:p>
            <w:r>
              <w:t>0.1.0</w:t>
            </w:r>
          </w:p>
        </w:tc>
        <w:tc>
          <w:tcPr>
            <w:tcW w:type="dxa" w:w="2484"/>
          </w:tcPr>
          <w:p>
            <w:r>
              <w:t>2026-07-09</w:t>
            </w:r>
          </w:p>
        </w:tc>
        <w:tc>
          <w:tcPr>
            <w:tcW w:type="dxa" w:w="2484"/>
          </w:tcPr>
          <w:p>
            <w:r>
              <w:t>Denver Jacobs</w:t>
            </w:r>
          </w:p>
        </w:tc>
        <w:tc>
          <w:tcPr>
            <w:tcW w:type="dxa" w:w="2484"/>
          </w:tcPr>
          <w:p>
            <w:r>
              <w:t>Initial draft</w:t>
            </w:r>
          </w:p>
        </w:tc>
      </w:tr>
    </w:tbl>
    <w:p>
      <w:pPr>
        <w:pStyle w:val="Heading1"/>
      </w:pPr>
      <w:r>
        <w:t>Architecture Decisions Required</w:t>
      </w:r>
    </w:p>
    <w:p>
      <w:r>
        <w:t>Technology-specific decisions discovered during implementation SHALL be captured as ADRs rather than silently embedded into code.</w:t>
      </w:r>
    </w:p>
    <w:p>
      <w:pPr>
        <w:pStyle w:val="Heading1"/>
      </w:pPr>
      <w:r>
        <w:t>References</w:t>
      </w:r>
    </w:p>
    <w:p>
      <w:r>
        <w:t>SynapseOS Governance Library (GOV series); SynapseOS Standards Library (STD-001 through STD-030); related RFCs as identified by dependency.</w:t>
      </w:r>
    </w:p>
    <w:p>
      <w:pPr>
        <w:pStyle w:val="Heading1"/>
      </w:pPr>
      <w:r>
        <w:t>Approval</w:t>
      </w:r>
    </w:p>
    <w:p>
      <w:r>
        <w:t>Author: Denver Jacobs ____________________  Date: __________</w:t>
        <w:br/>
        <w:br/>
        <w:t>Architecture Review: ____________________  Date: __________</w:t>
        <w:br/>
        <w:br/>
        <w:t>Security Review: ________________________  Date: __________</w:t>
        <w:br/>
        <w:br/>
        <w:t>Approved By: ___________________________  Date: 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