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SynapseOS RFC Library</w:t>
      </w:r>
    </w:p>
    <w:p>
      <w:pPr>
        <w:jc w:val="center"/>
      </w:pPr>
      <w:r>
        <w:rPr>
          <w:b/>
        </w:rPr>
        <w:t>Volume III – Implementation Contracts</w:t>
        <w:br/>
      </w:r>
      <w:r>
        <w:t>RFC-0005 – Event Bus &amp; Messaging Core</w:t>
        <w:br/>
        <w:t>Version 0.1.0 (Draft)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Field</w:t>
            </w:r>
          </w:p>
        </w:tc>
        <w:tc>
          <w:tcPr>
            <w:tcW w:type="dxa" w:w="4968"/>
          </w:tcPr>
          <w:p>
            <w:r>
              <w:t>Value</w:t>
            </w:r>
          </w:p>
        </w:tc>
      </w:tr>
      <w:tr>
        <w:tc>
          <w:tcPr>
            <w:tcW w:type="dxa" w:w="4968"/>
          </w:tcPr>
          <w:p>
            <w:r>
              <w:t>Document ID</w:t>
            </w:r>
          </w:p>
        </w:tc>
        <w:tc>
          <w:tcPr>
            <w:tcW w:type="dxa" w:w="4968"/>
          </w:tcPr>
          <w:p>
            <w:r>
              <w:t>RFC-0005</w:t>
            </w:r>
          </w:p>
        </w:tc>
      </w:tr>
      <w:tr>
        <w:tc>
          <w:tcPr>
            <w:tcW w:type="dxa" w:w="4968"/>
          </w:tcPr>
          <w:p>
            <w:r>
              <w:t>Title</w:t>
            </w:r>
          </w:p>
        </w:tc>
        <w:tc>
          <w:tcPr>
            <w:tcW w:type="dxa" w:w="4968"/>
          </w:tcPr>
          <w:p>
            <w:r>
              <w:t>Event Bus &amp; Messaging Core</w:t>
            </w:r>
          </w:p>
        </w:tc>
      </w:tr>
      <w:tr>
        <w:tc>
          <w:tcPr>
            <w:tcW w:type="dxa" w:w="4968"/>
          </w:tcPr>
          <w:p>
            <w:r>
              <w:t>Version</w:t>
            </w:r>
          </w:p>
        </w:tc>
        <w:tc>
          <w:tcPr>
            <w:tcW w:type="dxa" w:w="4968"/>
          </w:tcPr>
          <w:p>
            <w:r>
              <w:t>0.1.0</w:t>
            </w:r>
          </w:p>
        </w:tc>
      </w:tr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Draft</w:t>
            </w:r>
          </w:p>
        </w:tc>
      </w:tr>
      <w:tr>
        <w:tc>
          <w:tcPr>
            <w:tcW w:type="dxa" w:w="4968"/>
          </w:tcPr>
          <w:p>
            <w:r>
              <w:t>Author</w:t>
            </w:r>
          </w:p>
        </w:tc>
        <w:tc>
          <w:tcPr>
            <w:tcW w:type="dxa" w:w="4968"/>
          </w:tcPr>
          <w:p>
            <w:r>
              <w:t>Denver Jacobs</w:t>
            </w:r>
          </w:p>
        </w:tc>
      </w:tr>
      <w:tr>
        <w:tc>
          <w:tcPr>
            <w:tcW w:type="dxa" w:w="4968"/>
          </w:tcPr>
          <w:p>
            <w:r>
              <w:t>Reviewers</w:t>
            </w:r>
          </w:p>
        </w:tc>
        <w:tc>
          <w:tcPr>
            <w:tcW w:type="dxa" w:w="4968"/>
          </w:tcPr>
          <w:p>
            <w:r>
              <w:t>TBD</w:t>
            </w:r>
          </w:p>
        </w:tc>
      </w:tr>
      <w:tr>
        <w:tc>
          <w:tcPr>
            <w:tcW w:type="dxa" w:w="4968"/>
          </w:tcPr>
          <w:p>
            <w:r>
              <w:t>Created</w:t>
            </w:r>
          </w:p>
        </w:tc>
        <w:tc>
          <w:tcPr>
            <w:tcW w:type="dxa" w:w="4968"/>
          </w:tcPr>
          <w:p>
            <w:r>
              <w:t>2026-07-09</w:t>
            </w:r>
          </w:p>
        </w:tc>
      </w:tr>
      <w:tr>
        <w:tc>
          <w:tcPr>
            <w:tcW w:type="dxa" w:w="4968"/>
          </w:tcPr>
          <w:p>
            <w:r>
              <w:t>Last Updated</w:t>
            </w:r>
          </w:p>
        </w:tc>
        <w:tc>
          <w:tcPr>
            <w:tcW w:type="dxa" w:w="4968"/>
          </w:tcPr>
          <w:p>
            <w:r>
              <w:t>2026-07-09</w:t>
            </w:r>
          </w:p>
        </w:tc>
      </w:tr>
      <w:tr>
        <w:tc>
          <w:tcPr>
            <w:tcW w:type="dxa" w:w="4968"/>
          </w:tcPr>
          <w:p>
            <w:r>
              <w:t>Classification</w:t>
            </w:r>
          </w:p>
        </w:tc>
        <w:tc>
          <w:tcPr>
            <w:tcW w:type="dxa" w:w="4968"/>
          </w:tcPr>
          <w:p>
            <w:r>
              <w:t>Public</w:t>
            </w:r>
          </w:p>
        </w:tc>
      </w:tr>
      <w:tr>
        <w:tc>
          <w:tcPr>
            <w:tcW w:type="dxa" w:w="4968"/>
          </w:tcPr>
          <w:p>
            <w:r>
              <w:t>Target</w:t>
            </w:r>
          </w:p>
        </w:tc>
        <w:tc>
          <w:tcPr>
            <w:tcW w:type="dxa" w:w="4968"/>
          </w:tcPr>
          <w:p>
            <w:r>
              <w:t>SynapseOS Reference Architecture</w:t>
            </w:r>
          </w:p>
        </w:tc>
      </w:tr>
      <w:tr>
        <w:tc>
          <w:tcPr>
            <w:tcW w:type="dxa" w:w="4968"/>
          </w:tcPr>
          <w:p>
            <w:r>
              <w:t>Requires</w:t>
            </w:r>
          </w:p>
        </w:tc>
        <w:tc>
          <w:tcPr>
            <w:tcW w:type="dxa" w:w="4968"/>
          </w:tcPr>
          <w:p>
            <w:r>
              <w:t>Applicable GOV and STD documents</w:t>
            </w:r>
          </w:p>
        </w:tc>
      </w:tr>
      <w:tr>
        <w:tc>
          <w:tcPr>
            <w:tcW w:type="dxa" w:w="4968"/>
          </w:tcPr>
          <w:p>
            <w:r>
              <w:t>Supersedes</w:t>
            </w:r>
          </w:p>
        </w:tc>
        <w:tc>
          <w:tcPr>
            <w:tcW w:type="dxa" w:w="4968"/>
          </w:tcPr>
          <w:p>
            <w:r>
              <w:t>None</w:t>
            </w:r>
          </w:p>
        </w:tc>
      </w:tr>
    </w:tbl>
    <w:p>
      <w:pPr>
        <w:pStyle w:val="Heading1"/>
      </w:pPr>
      <w:r>
        <w:t>RFC Status and Normative Language</w:t>
      </w:r>
    </w:p>
    <w:p>
      <w:r>
        <w:t>This document is a Draft implementation contract. SHALL and MUST denote mandatory conformance requirements; SHOULD denotes a recommended requirement requiring justification when omitted; MAY denotes an optional capability.</w:t>
      </w:r>
    </w:p>
    <w:p>
      <w:pPr>
        <w:pStyle w:val="Heading1"/>
      </w:pPr>
      <w:r>
        <w:t>Decision Summary</w:t>
      </w:r>
    </w:p>
    <w:p>
      <w:r>
        <w:t>Adopt the architecture and contracts defined by RFC-0005 for Event Bus &amp; Messaging Core. Implementation SHALL remain consistent with approved governance, standards and later accepted amendments.</w:t>
      </w:r>
    </w:p>
    <w:p>
      <w:pPr>
        <w:pStyle w:val="Heading1"/>
      </w:pPr>
      <w:r>
        <w:t>1. Abstract</w:t>
      </w:r>
    </w:p>
    <w:p>
      <w:r>
        <w:t>Defines the canonical SynapseOS messaging core and event envelope.</w:t>
      </w:r>
    </w:p>
    <w:p>
      <w:pPr>
        <w:pStyle w:val="Heading1"/>
      </w:pPr>
      <w:r>
        <w:t>2. Message Classes</w:t>
      </w:r>
    </w:p>
    <w:p>
      <w:r>
        <w:t>Command, Event, Query, Reply, Notification and Control.</w:t>
      </w:r>
    </w:p>
    <w:p>
      <w:pPr>
        <w:pStyle w:val="Heading1"/>
      </w:pPr>
      <w:r>
        <w:t>3. Canonical Envelope</w:t>
      </w:r>
    </w:p>
    <w:p>
      <w:r>
        <w:t>message_id, message_type, schema_version, occurred_at/sent_at, producer_principal, tenant, correlation_id, causation_id, trace_context, payload and optional expiry.</w:t>
      </w:r>
    </w:p>
    <w:p>
      <w:pPr>
        <w:pStyle w:val="Heading1"/>
      </w:pPr>
      <w:r>
        <w:t>4. Event Naming</w:t>
      </w:r>
    </w:p>
    <w:p>
      <w:r>
        <w:t>Use stable domain-oriented names; events describe completed facts in past tense.</w:t>
      </w:r>
    </w:p>
    <w:p>
      <w:pPr>
        <w:pStyle w:val="Heading1"/>
      </w:pPr>
      <w:r>
        <w:t>5. Schema Versioning</w:t>
      </w:r>
    </w:p>
    <w:p>
      <w:r>
        <w:t>Every material message type has versioned schema and compatibility policy.</w:t>
      </w:r>
    </w:p>
    <w:p>
      <w:pPr>
        <w:pStyle w:val="Heading1"/>
      </w:pPr>
      <w:r>
        <w:t>6. Transport Independence</w:t>
      </w:r>
    </w:p>
    <w:p>
      <w:r>
        <w:t>Core contracts do not require a specific broker.</w:t>
      </w:r>
    </w:p>
    <w:p>
      <w:pPr>
        <w:pStyle w:val="Heading1"/>
      </w:pPr>
      <w:r>
        <w:t>7. Phase 1 Topology</w:t>
      </w:r>
    </w:p>
    <w:p>
      <w:r>
        <w:t>MAY begin with in-process bus plus durable outbox for state-changing event publication.</w:t>
      </w:r>
    </w:p>
    <w:p>
      <w:pPr>
        <w:pStyle w:val="Heading1"/>
      </w:pPr>
      <w:r>
        <w:t>8. Publish Contract</w:t>
      </w:r>
    </w:p>
    <w:p>
      <w:r>
        <w:t>Publisher receives explicit success/failure; durable publication semantics are declared per channel.</w:t>
      </w:r>
    </w:p>
    <w:p>
      <w:pPr>
        <w:pStyle w:val="Heading1"/>
      </w:pPr>
      <w:r>
        <w:t>9. Subscribe Contract</w:t>
      </w:r>
    </w:p>
    <w:p>
      <w:r>
        <w:t>Consumers register message types, versions, identity and delivery policy.</w:t>
      </w:r>
    </w:p>
    <w:p>
      <w:pPr>
        <w:pStyle w:val="Heading1"/>
      </w:pPr>
      <w:r>
        <w:t>10. Delivery Semantics</w:t>
      </w:r>
    </w:p>
    <w:p>
      <w:r>
        <w:t>Default durable asynchronous delivery target is at-least-once; consumers design for duplicates.</w:t>
      </w:r>
    </w:p>
    <w:p>
      <w:pPr>
        <w:pStyle w:val="Heading1"/>
      </w:pPr>
      <w:r>
        <w:t>11. Ordering</w:t>
      </w:r>
    </w:p>
    <w:p>
      <w:r>
        <w:t>Only guaranteed within explicitly documented stream/partition keys.</w:t>
      </w:r>
    </w:p>
    <w:p>
      <w:pPr>
        <w:pStyle w:val="Heading1"/>
      </w:pPr>
      <w:r>
        <w:t>12. Idempotency</w:t>
      </w:r>
    </w:p>
    <w:p>
      <w:r>
        <w:t>Consumers use message ID or domain idempotency key where side effects matter.</w:t>
      </w:r>
    </w:p>
    <w:p>
      <w:pPr>
        <w:pStyle w:val="Heading1"/>
      </w:pPr>
      <w:r>
        <w:t>13. Outbox Pattern</w:t>
      </w:r>
    </w:p>
    <w:p>
      <w:r>
        <w:t>State change and event intent SHOULD commit atomically where relational storage is used.</w:t>
      </w:r>
    </w:p>
    <w:p>
      <w:pPr>
        <w:pStyle w:val="Heading1"/>
      </w:pPr>
      <w:r>
        <w:t>14. Inbox Pattern</w:t>
      </w:r>
    </w:p>
    <w:p>
      <w:r>
        <w:t>Consumers MAY persist processed IDs for bounded deduplication.</w:t>
      </w:r>
    </w:p>
    <w:p>
      <w:pPr>
        <w:pStyle w:val="Heading1"/>
      </w:pPr>
      <w:r>
        <w:t>15. Retries</w:t>
      </w:r>
    </w:p>
    <w:p>
      <w:r>
        <w:t>Bounded backoff with jitter; classify transient versus permanent errors.</w:t>
      </w:r>
    </w:p>
    <w:p>
      <w:pPr>
        <w:pStyle w:val="Heading1"/>
      </w:pPr>
      <w:r>
        <w:t>16. Dead Letter</w:t>
      </w:r>
    </w:p>
    <w:p>
      <w:r>
        <w:t>Poison messages move to owned quarantine with alert and replay controls.</w:t>
      </w:r>
    </w:p>
    <w:p>
      <w:pPr>
        <w:pStyle w:val="Heading1"/>
      </w:pPr>
      <w:r>
        <w:t>17. Replay</w:t>
      </w:r>
    </w:p>
    <w:p>
      <w:r>
        <w:t>Replay is authorised, observable and side-effect aware.</w:t>
      </w:r>
    </w:p>
    <w:p>
      <w:pPr>
        <w:pStyle w:val="Heading1"/>
      </w:pPr>
      <w:r>
        <w:t>18. Correlation</w:t>
      </w:r>
    </w:p>
    <w:p>
      <w:r>
        <w:t>All process/run/task messages propagate correlation and causation.</w:t>
      </w:r>
    </w:p>
    <w:p>
      <w:pPr>
        <w:pStyle w:val="Heading1"/>
      </w:pPr>
      <w:r>
        <w:t>19. Security</w:t>
      </w:r>
    </w:p>
    <w:p>
      <w:r>
        <w:t>Authenticate producers/consumers and enforce topic/message permissions.</w:t>
      </w:r>
    </w:p>
    <w:p>
      <w:pPr>
        <w:pStyle w:val="Heading1"/>
      </w:pPr>
      <w:r>
        <w:t>20. Tenant Isolation</w:t>
      </w:r>
    </w:p>
    <w:p>
      <w:r>
        <w:t>Tenant context is explicit and routing cannot rely only on payload text.</w:t>
      </w:r>
    </w:p>
    <w:p>
      <w:pPr>
        <w:pStyle w:val="Heading1"/>
      </w:pPr>
      <w:r>
        <w:t>21. Control Messages</w:t>
      </w:r>
    </w:p>
    <w:p>
      <w:r>
        <w:t>Privileged control channels require stronger authorisation and cannot be created by ordinary content.</w:t>
      </w:r>
    </w:p>
    <w:p>
      <w:pPr>
        <w:pStyle w:val="Heading1"/>
      </w:pPr>
      <w:r>
        <w:t>22. Payload Limits</w:t>
      </w:r>
    </w:p>
    <w:p>
      <w:r>
        <w:t>Set maximum size; large artifacts use references.</w:t>
      </w:r>
    </w:p>
    <w:p>
      <w:pPr>
        <w:pStyle w:val="Heading1"/>
      </w:pPr>
      <w:r>
        <w:t>23. Confidentiality</w:t>
      </w:r>
    </w:p>
    <w:p>
      <w:r>
        <w:t>Avoid secrets in envelopes; encrypt transport and protect stored messages.</w:t>
      </w:r>
    </w:p>
    <w:p>
      <w:pPr>
        <w:pStyle w:val="Heading1"/>
      </w:pPr>
      <w:r>
        <w:t>24. Observability</w:t>
      </w:r>
    </w:p>
    <w:p>
      <w:r>
        <w:t>Publish rate, consume rate, lag, retry, DLQ, handler latency and failures.</w:t>
      </w:r>
    </w:p>
    <w:p>
      <w:pPr>
        <w:pStyle w:val="Heading1"/>
      </w:pPr>
      <w:r>
        <w:t>25. Tracing</w:t>
      </w:r>
    </w:p>
    <w:p>
      <w:r>
        <w:t>Propagate trace context with privacy controls.</w:t>
      </w:r>
    </w:p>
    <w:p>
      <w:pPr>
        <w:pStyle w:val="Heading1"/>
      </w:pPr>
      <w:r>
        <w:t>26. Failure Behaviour</w:t>
      </w:r>
    </w:p>
    <w:p>
      <w:r>
        <w:t>Broker unavailability triggers bounded buffering/degradation according to message criticality.</w:t>
      </w:r>
    </w:p>
    <w:p>
      <w:pPr>
        <w:pStyle w:val="Heading1"/>
      </w:pPr>
      <w:r>
        <w:t>27. Testing</w:t>
      </w:r>
    </w:p>
    <w:p>
      <w:r>
        <w:t>Duplicates, reordering, delay, schema mismatch, poison message, replay and tenant isolation.</w:t>
      </w:r>
    </w:p>
    <w:p>
      <w:pPr>
        <w:pStyle w:val="Heading1"/>
      </w:pPr>
      <w:r>
        <w:t>28. Acceptance Criteria</w:t>
      </w:r>
    </w:p>
    <w:p>
      <w:r>
        <w:t>Reference bus publishes versioned events, correlates workflows, retries safely and quarantines poison messages.</w:t>
      </w:r>
    </w:p>
    <w:p>
      <w:pPr>
        <w:pStyle w:val="Heading1"/>
      </w:pPr>
      <w:r>
        <w:t>29. Open Questions</w:t>
      </w:r>
    </w:p>
    <w:p>
      <w:r>
        <w:t>Phase 1 implementation; serialization JSON versus binary; outbox library.</w:t>
      </w:r>
    </w:p>
    <w:p>
      <w:pPr>
        <w:pStyle w:val="Heading1"/>
      </w:pPr>
      <w:r>
        <w:t>Conformance Requirements</w:t>
      </w:r>
    </w:p>
    <w:p>
      <w:r>
        <w:t>□ Implementation identifies the RFC version it targets.</w:t>
      </w:r>
    </w:p>
    <w:p>
      <w:r>
        <w:t>□ Mandatory interfaces and invariants are tested.</w:t>
      </w:r>
    </w:p>
    <w:p>
      <w:r>
        <w:t>□ Security boundaries are enforced outside model prompts.</w:t>
      </w:r>
    </w:p>
    <w:p>
      <w:r>
        <w:t>□ Failure and negative paths are covered.</w:t>
      </w:r>
    </w:p>
    <w:p>
      <w:r>
        <w:t>□ Observability evidence is available.</w:t>
      </w:r>
    </w:p>
    <w:p>
      <w:r>
        <w:t>□ Deviations are documented through ADR/RFC governance.</w:t>
      </w:r>
    </w:p>
    <w:p>
      <w:r>
        <w:t>□ No implementation claim is accepted without executable or reviewable evidence.</w:t>
      </w:r>
    </w:p>
    <w:p>
      <w:pPr>
        <w:pStyle w:val="Heading1"/>
      </w:pPr>
      <w:r>
        <w:t>Implementation Plan</w:t>
      </w:r>
    </w:p>
    <w:p>
      <w:r>
        <w:t>Phase A – Create interfaces, schemas and conformance tests.</w:t>
      </w:r>
    </w:p>
    <w:p>
      <w:r>
        <w:t>Phase B – Build the smallest local reference implementation.</w:t>
      </w:r>
    </w:p>
    <w:p>
      <w:r>
        <w:t>Phase C – Execute negative, failure and security tests.</w:t>
      </w:r>
    </w:p>
    <w:p>
      <w:r>
        <w:t>Phase D – Integrate with dependent accepted RFCs.</w:t>
      </w:r>
    </w:p>
    <w:p>
      <w:r>
        <w:t>Phase E – Record ADRs for technology choices.</w:t>
      </w:r>
    </w:p>
    <w:p>
      <w:r>
        <w:t>Phase F – Review evidence before changing RFC status.</w:t>
      </w:r>
    </w:p>
    <w:p>
      <w:pPr>
        <w:pStyle w:val="Heading1"/>
      </w:pPr>
      <w:r>
        <w:t>Change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Version</w:t>
            </w:r>
          </w:p>
        </w:tc>
        <w:tc>
          <w:tcPr>
            <w:tcW w:type="dxa" w:w="2484"/>
          </w:tcPr>
          <w:p>
            <w:r>
              <w:t>Date</w:t>
            </w:r>
          </w:p>
        </w:tc>
        <w:tc>
          <w:tcPr>
            <w:tcW w:type="dxa" w:w="2484"/>
          </w:tcPr>
          <w:p>
            <w:r>
              <w:t>Author</w:t>
            </w:r>
          </w:p>
        </w:tc>
        <w:tc>
          <w:tcPr>
            <w:tcW w:type="dxa" w:w="2484"/>
          </w:tcPr>
          <w:p>
            <w:r>
              <w:t>Change</w:t>
            </w:r>
          </w:p>
        </w:tc>
      </w:tr>
      <w:tr>
        <w:tc>
          <w:tcPr>
            <w:tcW w:type="dxa" w:w="2484"/>
          </w:tcPr>
          <w:p>
            <w:r>
              <w:t>0.1.0</w:t>
            </w:r>
          </w:p>
        </w:tc>
        <w:tc>
          <w:tcPr>
            <w:tcW w:type="dxa" w:w="2484"/>
          </w:tcPr>
          <w:p>
            <w:r>
              <w:t>2026-07-09</w:t>
            </w:r>
          </w:p>
        </w:tc>
        <w:tc>
          <w:tcPr>
            <w:tcW w:type="dxa" w:w="2484"/>
          </w:tcPr>
          <w:p>
            <w:r>
              <w:t>Denver Jacobs</w:t>
            </w:r>
          </w:p>
        </w:tc>
        <w:tc>
          <w:tcPr>
            <w:tcW w:type="dxa" w:w="2484"/>
          </w:tcPr>
          <w:p>
            <w:r>
              <w:t>Initial draft</w:t>
            </w:r>
          </w:p>
        </w:tc>
      </w:tr>
    </w:tbl>
    <w:p>
      <w:pPr>
        <w:pStyle w:val="Heading1"/>
      </w:pPr>
      <w:r>
        <w:t>Architecture Decisions Required</w:t>
      </w:r>
    </w:p>
    <w:p>
      <w:r>
        <w:t>Technology-specific decisions discovered during implementation SHALL be captured as ADRs rather than silently embedded into code.</w:t>
      </w:r>
    </w:p>
    <w:p>
      <w:pPr>
        <w:pStyle w:val="Heading1"/>
      </w:pPr>
      <w:r>
        <w:t>References</w:t>
      </w:r>
    </w:p>
    <w:p>
      <w:r>
        <w:t>SynapseOS Governance Library (GOV series); SynapseOS Standards Library (STD-001 through STD-030); related RFCs as identified by dependency.</w:t>
      </w:r>
    </w:p>
    <w:p>
      <w:pPr>
        <w:pStyle w:val="Heading1"/>
      </w:pPr>
      <w:r>
        <w:t>Approval</w:t>
      </w:r>
    </w:p>
    <w:p>
      <w:r>
        <w:t>Author: Denver Jacobs ____________________  Date: __________</w:t>
        <w:br/>
        <w:br/>
        <w:t>Architecture Review: ____________________  Date: __________</w:t>
        <w:br/>
        <w:br/>
        <w:t>Security Review: ________________________  Date: __________</w:t>
        <w:br/>
        <w:br/>
        <w:t>Approved By: ___________________________  Date: __________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