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SynapseOS RFC Library</w:t>
      </w:r>
    </w:p>
    <w:p>
      <w:pPr>
        <w:jc w:val="center"/>
      </w:pPr>
      <w:r>
        <w:rPr>
          <w:b/>
        </w:rPr>
        <w:t>Volume III – Implementation Contracts</w:t>
        <w:br/>
      </w:r>
      <w:r>
        <w:t>RFC-0007 – Capability &amp; Permission Model</w:t>
        <w:br/>
        <w:t>Version 0.1.0 (Draft)</w:t>
      </w:r>
    </w:p>
    <w:p>
      <w:r>
        <w:br w:type="page"/>
      </w:r>
    </w:p>
    <w:p>
      <w:pPr>
        <w:pStyle w:val="Heading1"/>
      </w:pPr>
      <w:r>
        <w:t>Document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Field</w:t>
            </w:r>
          </w:p>
        </w:tc>
        <w:tc>
          <w:tcPr>
            <w:tcW w:type="dxa" w:w="4968"/>
          </w:tcPr>
          <w:p>
            <w:r>
              <w:t>Value</w:t>
            </w:r>
          </w:p>
        </w:tc>
      </w:tr>
      <w:tr>
        <w:tc>
          <w:tcPr>
            <w:tcW w:type="dxa" w:w="4968"/>
          </w:tcPr>
          <w:p>
            <w:r>
              <w:t>Document ID</w:t>
            </w:r>
          </w:p>
        </w:tc>
        <w:tc>
          <w:tcPr>
            <w:tcW w:type="dxa" w:w="4968"/>
          </w:tcPr>
          <w:p>
            <w:r>
              <w:t>RFC-0007</w:t>
            </w:r>
          </w:p>
        </w:tc>
      </w:tr>
      <w:tr>
        <w:tc>
          <w:tcPr>
            <w:tcW w:type="dxa" w:w="4968"/>
          </w:tcPr>
          <w:p>
            <w:r>
              <w:t>Title</w:t>
            </w:r>
          </w:p>
        </w:tc>
        <w:tc>
          <w:tcPr>
            <w:tcW w:type="dxa" w:w="4968"/>
          </w:tcPr>
          <w:p>
            <w:r>
              <w:t>Capability &amp; Permission Model</w:t>
            </w:r>
          </w:p>
        </w:tc>
      </w:tr>
      <w:tr>
        <w:tc>
          <w:tcPr>
            <w:tcW w:type="dxa" w:w="4968"/>
          </w:tcPr>
          <w:p>
            <w:r>
              <w:t>Version</w:t>
            </w:r>
          </w:p>
        </w:tc>
        <w:tc>
          <w:tcPr>
            <w:tcW w:type="dxa" w:w="4968"/>
          </w:tcPr>
          <w:p>
            <w:r>
              <w:t>0.1.0</w:t>
            </w:r>
          </w:p>
        </w:tc>
      </w:tr>
      <w:tr>
        <w:tc>
          <w:tcPr>
            <w:tcW w:type="dxa" w:w="4968"/>
          </w:tcPr>
          <w:p>
            <w:r>
              <w:t>Status</w:t>
            </w:r>
          </w:p>
        </w:tc>
        <w:tc>
          <w:tcPr>
            <w:tcW w:type="dxa" w:w="4968"/>
          </w:tcPr>
          <w:p>
            <w:r>
              <w:t>Draft</w:t>
            </w:r>
          </w:p>
        </w:tc>
      </w:tr>
      <w:tr>
        <w:tc>
          <w:tcPr>
            <w:tcW w:type="dxa" w:w="4968"/>
          </w:tcPr>
          <w:p>
            <w:r>
              <w:t>Author</w:t>
            </w:r>
          </w:p>
        </w:tc>
        <w:tc>
          <w:tcPr>
            <w:tcW w:type="dxa" w:w="4968"/>
          </w:tcPr>
          <w:p>
            <w:r>
              <w:t>Denver Jacobs</w:t>
            </w:r>
          </w:p>
        </w:tc>
      </w:tr>
      <w:tr>
        <w:tc>
          <w:tcPr>
            <w:tcW w:type="dxa" w:w="4968"/>
          </w:tcPr>
          <w:p>
            <w:r>
              <w:t>Reviewers</w:t>
            </w:r>
          </w:p>
        </w:tc>
        <w:tc>
          <w:tcPr>
            <w:tcW w:type="dxa" w:w="4968"/>
          </w:tcPr>
          <w:p>
            <w:r>
              <w:t>TBD</w:t>
            </w:r>
          </w:p>
        </w:tc>
      </w:tr>
      <w:tr>
        <w:tc>
          <w:tcPr>
            <w:tcW w:type="dxa" w:w="4968"/>
          </w:tcPr>
          <w:p>
            <w:r>
              <w:t>Created</w:t>
            </w:r>
          </w:p>
        </w:tc>
        <w:tc>
          <w:tcPr>
            <w:tcW w:type="dxa" w:w="4968"/>
          </w:tcPr>
          <w:p>
            <w:r>
              <w:t>2026-07-09</w:t>
            </w:r>
          </w:p>
        </w:tc>
      </w:tr>
      <w:tr>
        <w:tc>
          <w:tcPr>
            <w:tcW w:type="dxa" w:w="4968"/>
          </w:tcPr>
          <w:p>
            <w:r>
              <w:t>Last Updated</w:t>
            </w:r>
          </w:p>
        </w:tc>
        <w:tc>
          <w:tcPr>
            <w:tcW w:type="dxa" w:w="4968"/>
          </w:tcPr>
          <w:p>
            <w:r>
              <w:t>2026-07-09</w:t>
            </w:r>
          </w:p>
        </w:tc>
      </w:tr>
      <w:tr>
        <w:tc>
          <w:tcPr>
            <w:tcW w:type="dxa" w:w="4968"/>
          </w:tcPr>
          <w:p>
            <w:r>
              <w:t>Classification</w:t>
            </w:r>
          </w:p>
        </w:tc>
        <w:tc>
          <w:tcPr>
            <w:tcW w:type="dxa" w:w="4968"/>
          </w:tcPr>
          <w:p>
            <w:r>
              <w:t>Public</w:t>
            </w:r>
          </w:p>
        </w:tc>
      </w:tr>
      <w:tr>
        <w:tc>
          <w:tcPr>
            <w:tcW w:type="dxa" w:w="4968"/>
          </w:tcPr>
          <w:p>
            <w:r>
              <w:t>Target</w:t>
            </w:r>
          </w:p>
        </w:tc>
        <w:tc>
          <w:tcPr>
            <w:tcW w:type="dxa" w:w="4968"/>
          </w:tcPr>
          <w:p>
            <w:r>
              <w:t>SynapseOS Reference Architecture</w:t>
            </w:r>
          </w:p>
        </w:tc>
      </w:tr>
      <w:tr>
        <w:tc>
          <w:tcPr>
            <w:tcW w:type="dxa" w:w="4968"/>
          </w:tcPr>
          <w:p>
            <w:r>
              <w:t>Requires</w:t>
            </w:r>
          </w:p>
        </w:tc>
        <w:tc>
          <w:tcPr>
            <w:tcW w:type="dxa" w:w="4968"/>
          </w:tcPr>
          <w:p>
            <w:r>
              <w:t>Applicable GOV and STD documents</w:t>
            </w:r>
          </w:p>
        </w:tc>
      </w:tr>
      <w:tr>
        <w:tc>
          <w:tcPr>
            <w:tcW w:type="dxa" w:w="4968"/>
          </w:tcPr>
          <w:p>
            <w:r>
              <w:t>Supersedes</w:t>
            </w:r>
          </w:p>
        </w:tc>
        <w:tc>
          <w:tcPr>
            <w:tcW w:type="dxa" w:w="4968"/>
          </w:tcPr>
          <w:p>
            <w:r>
              <w:t>None</w:t>
            </w:r>
          </w:p>
        </w:tc>
      </w:tr>
    </w:tbl>
    <w:p>
      <w:pPr>
        <w:pStyle w:val="Heading1"/>
      </w:pPr>
      <w:r>
        <w:t>RFC Status and Normative Language</w:t>
      </w:r>
    </w:p>
    <w:p>
      <w:r>
        <w:t>This document is a Draft implementation contract. SHALL and MUST denote mandatory conformance requirements; SHOULD denotes a recommended requirement requiring justification when omitted; MAY denotes an optional capability.</w:t>
      </w:r>
    </w:p>
    <w:p>
      <w:pPr>
        <w:pStyle w:val="Heading1"/>
      </w:pPr>
      <w:r>
        <w:t>Decision Summary</w:t>
      </w:r>
    </w:p>
    <w:p>
      <w:r>
        <w:t>Adopt the architecture and contracts defined by RFC-0007 for Capability &amp; Permission Model. Implementation SHALL remain consistent with approved governance, standards and later accepted amendments.</w:t>
      </w:r>
    </w:p>
    <w:p>
      <w:pPr>
        <w:pStyle w:val="Heading1"/>
      </w:pPr>
      <w:r>
        <w:t>1. Abstract</w:t>
      </w:r>
    </w:p>
    <w:p>
      <w:r>
        <w:t>Defines deny-by-default authorisation and bounded capability delegation.</w:t>
      </w:r>
    </w:p>
    <w:p>
      <w:pPr>
        <w:pStyle w:val="Heading1"/>
      </w:pPr>
      <w:r>
        <w:t>2. Authorisation Model</w:t>
      </w:r>
    </w:p>
    <w:p>
      <w:r>
        <w:t>Effective permission is evaluated from principal, capability grant, action, resource, tenant, environment, conditions and time.</w:t>
      </w:r>
    </w:p>
    <w:p>
      <w:pPr>
        <w:pStyle w:val="Heading1"/>
      </w:pPr>
      <w:r>
        <w:t>3. Capability</w:t>
      </w:r>
    </w:p>
    <w:p>
      <w:r>
        <w:t>Named permission contract for a class of action; tools do not themselves grant permission.</w:t>
      </w:r>
    </w:p>
    <w:p>
      <w:pPr>
        <w:pStyle w:val="Heading1"/>
      </w:pPr>
      <w:r>
        <w:t>4. Grant</w:t>
      </w:r>
    </w:p>
    <w:p>
      <w:r>
        <w:t>Binds capability to principal with scope, conditions, issuer, start, expiry and delegation rules.</w:t>
      </w:r>
    </w:p>
    <w:p>
      <w:pPr>
        <w:pStyle w:val="Heading1"/>
      </w:pPr>
      <w:r>
        <w:t>5. Resource Model</w:t>
      </w:r>
    </w:p>
    <w:p>
      <w:r>
        <w:t>Resources use stable typed identifiers and optional hierarchical scopes.</w:t>
      </w:r>
    </w:p>
    <w:p>
      <w:pPr>
        <w:pStyle w:val="Heading1"/>
      </w:pPr>
      <w:r>
        <w:t>6. Actions</w:t>
      </w:r>
    </w:p>
    <w:p>
      <w:r>
        <w:t>Read, Create, Update, Delete, Execute, Send, Approve, Delegate and domain-specific actions.</w:t>
      </w:r>
    </w:p>
    <w:p>
      <w:pPr>
        <w:pStyle w:val="Heading1"/>
      </w:pPr>
      <w:r>
        <w:t>7. Default Deny</w:t>
      </w:r>
    </w:p>
    <w:p>
      <w:r>
        <w:t>No matching valid grant means deny.</w:t>
      </w:r>
    </w:p>
    <w:p>
      <w:pPr>
        <w:pStyle w:val="Heading1"/>
      </w:pPr>
      <w:r>
        <w:t>8. Explicit Deny</w:t>
      </w:r>
    </w:p>
    <w:p>
      <w:r>
        <w:t>Protected prohibitions MAY override broad grants.</w:t>
      </w:r>
    </w:p>
    <w:p>
      <w:pPr>
        <w:pStyle w:val="Heading1"/>
      </w:pPr>
      <w:r>
        <w:t>9. Conditions</w:t>
      </w:r>
    </w:p>
    <w:p>
      <w:r>
        <w:t>Time, environment, tenant, resource attributes, approval, risk state, rate and budget.</w:t>
      </w:r>
    </w:p>
    <w:p>
      <w:pPr>
        <w:pStyle w:val="Heading1"/>
      </w:pPr>
      <w:r>
        <w:t>10. Delegation</w:t>
      </w:r>
    </w:p>
    <w:p>
      <w:r>
        <w:t>Delegate receives subset of delegator's effective authority; no authority creation.</w:t>
      </w:r>
    </w:p>
    <w:p>
      <w:pPr>
        <w:pStyle w:val="Heading1"/>
      </w:pPr>
      <w:r>
        <w:t>11. Delegation Depth</w:t>
      </w:r>
    </w:p>
    <w:p>
      <w:r>
        <w:t>Bounded and recorded; sub-delegation disabled unless explicit.</w:t>
      </w:r>
    </w:p>
    <w:p>
      <w:pPr>
        <w:pStyle w:val="Heading1"/>
      </w:pPr>
      <w:r>
        <w:t>12. Capability Bundles</w:t>
      </w:r>
    </w:p>
    <w:p>
      <w:r>
        <w:t>Administrative convenience only; effective individual capabilities remain inspectable.</w:t>
      </w:r>
    </w:p>
    <w:p>
      <w:pPr>
        <w:pStyle w:val="Heading1"/>
      </w:pPr>
      <w:r>
        <w:t>13. High-Impact Capabilities</w:t>
      </w:r>
    </w:p>
    <w:p>
      <w:r>
        <w:t>Destructive, privilege, financial, external-send and production-deploy capabilities require stronger controls.</w:t>
      </w:r>
    </w:p>
    <w:p>
      <w:pPr>
        <w:pStyle w:val="Heading1"/>
      </w:pPr>
      <w:r>
        <w:t>14. Policy Decision Point</w:t>
      </w:r>
    </w:p>
    <w:p>
      <w:r>
        <w:t>Evaluates authorisation request and returns Allow/Deny plus obligations/reason code.</w:t>
      </w:r>
    </w:p>
    <w:p>
      <w:pPr>
        <w:pStyle w:val="Heading1"/>
      </w:pPr>
      <w:r>
        <w:t>15. Policy Enforcement Point</w:t>
      </w:r>
    </w:p>
    <w:p>
      <w:r>
        <w:t>Tool/service boundary enforces decision immediately before action.</w:t>
      </w:r>
    </w:p>
    <w:p>
      <w:pPr>
        <w:pStyle w:val="Heading1"/>
      </w:pPr>
      <w:r>
        <w:t>16. Decision Input</w:t>
      </w:r>
    </w:p>
    <w:p>
      <w:r>
        <w:t>principal, action, resource, context, tenant, environment, approval reference, requested parameters.</w:t>
      </w:r>
    </w:p>
    <w:p>
      <w:pPr>
        <w:pStyle w:val="Heading1"/>
      </w:pPr>
      <w:r>
        <w:t>17. Decision Output</w:t>
      </w:r>
    </w:p>
    <w:p>
      <w:r>
        <w:t>decision, matched policy/grant IDs, obligations, expiry and safe reason code.</w:t>
      </w:r>
    </w:p>
    <w:p>
      <w:pPr>
        <w:pStyle w:val="Heading1"/>
      </w:pPr>
      <w:r>
        <w:t>18. TOCTOU</w:t>
      </w:r>
    </w:p>
    <w:p>
      <w:r>
        <w:t>Re-evaluate where material state can change between decision and execution.</w:t>
      </w:r>
    </w:p>
    <w:p>
      <w:pPr>
        <w:pStyle w:val="Heading1"/>
      </w:pPr>
      <w:r>
        <w:t>19. Caching</w:t>
      </w:r>
    </w:p>
    <w:p>
      <w:r>
        <w:t>Allow-decision caching is bounded by expiry and revocation risk; high-impact decisions SHOULD minimise caching.</w:t>
      </w:r>
    </w:p>
    <w:p>
      <w:pPr>
        <w:pStyle w:val="Heading1"/>
      </w:pPr>
      <w:r>
        <w:t>20. Revocation</w:t>
      </w:r>
    </w:p>
    <w:p>
      <w:r>
        <w:t>Support principal, grant and delegation revocation.</w:t>
      </w:r>
    </w:p>
    <w:p>
      <w:pPr>
        <w:pStyle w:val="Heading1"/>
      </w:pPr>
      <w:r>
        <w:t>21. Break Glass</w:t>
      </w:r>
    </w:p>
    <w:p>
      <w:r>
        <w:t>Time-bound exceptional grant with strong audit and retrospective review.</w:t>
      </w:r>
    </w:p>
    <w:p>
      <w:pPr>
        <w:pStyle w:val="Heading1"/>
      </w:pPr>
      <w:r>
        <w:t>22. Audit</w:t>
      </w:r>
    </w:p>
    <w:p>
      <w:r>
        <w:t>Record grant creation, change, decision, denial, delegation and revocation.</w:t>
      </w:r>
    </w:p>
    <w:p>
      <w:pPr>
        <w:pStyle w:val="Heading1"/>
      </w:pPr>
      <w:r>
        <w:t>23. Policy Storage</w:t>
      </w:r>
    </w:p>
    <w:p>
      <w:r>
        <w:t>Policy is protected control-plane state and not writable through ordinary memory.</w:t>
      </w:r>
    </w:p>
    <w:p>
      <w:pPr>
        <w:pStyle w:val="Heading1"/>
      </w:pPr>
      <w:r>
        <w:t>24. Testing</w:t>
      </w:r>
    </w:p>
    <w:p>
      <w:r>
        <w:t>Allow/deny, scope, expiry, revocation, delegation subset, cross-tenant and injection attempts.</w:t>
      </w:r>
    </w:p>
    <w:p>
      <w:pPr>
        <w:pStyle w:val="Heading1"/>
      </w:pPr>
      <w:r>
        <w:t>25. Acceptance Criteria</w:t>
      </w:r>
    </w:p>
    <w:p>
      <w:r>
        <w:t>Reference PDP/PEP denies by default, grants scoped authority, enforces expiry and prevents delegation escalation.</w:t>
      </w:r>
    </w:p>
    <w:p>
      <w:pPr>
        <w:pStyle w:val="Heading1"/>
      </w:pPr>
      <w:r>
        <w:t>26. Open Questions</w:t>
      </w:r>
    </w:p>
    <w:p>
      <w:r>
        <w:t>Policy language; embedded versus separate PDP; capability-token format.</w:t>
      </w:r>
    </w:p>
    <w:p>
      <w:pPr>
        <w:pStyle w:val="Heading1"/>
      </w:pPr>
      <w:r>
        <w:t>Conformance Requirements</w:t>
      </w:r>
    </w:p>
    <w:p>
      <w:r>
        <w:t>□ Implementation identifies the RFC version it targets.</w:t>
      </w:r>
    </w:p>
    <w:p>
      <w:r>
        <w:t>□ Mandatory interfaces and invariants are tested.</w:t>
      </w:r>
    </w:p>
    <w:p>
      <w:r>
        <w:t>□ Security boundaries are enforced outside model prompts.</w:t>
      </w:r>
    </w:p>
    <w:p>
      <w:r>
        <w:t>□ Failure and negative paths are covered.</w:t>
      </w:r>
    </w:p>
    <w:p>
      <w:r>
        <w:t>□ Observability evidence is available.</w:t>
      </w:r>
    </w:p>
    <w:p>
      <w:r>
        <w:t>□ Deviations are documented through ADR/RFC governance.</w:t>
      </w:r>
    </w:p>
    <w:p>
      <w:r>
        <w:t>□ No implementation claim is accepted without executable or reviewable evidence.</w:t>
      </w:r>
    </w:p>
    <w:p>
      <w:pPr>
        <w:pStyle w:val="Heading1"/>
      </w:pPr>
      <w:r>
        <w:t>Implementation Plan</w:t>
      </w:r>
    </w:p>
    <w:p>
      <w:r>
        <w:t>Phase A – Create interfaces, schemas and conformance tests.</w:t>
      </w:r>
    </w:p>
    <w:p>
      <w:r>
        <w:t>Phase B – Build the smallest local reference implementation.</w:t>
      </w:r>
    </w:p>
    <w:p>
      <w:r>
        <w:t>Phase C – Execute negative, failure and security tests.</w:t>
      </w:r>
    </w:p>
    <w:p>
      <w:r>
        <w:t>Phase D – Integrate with dependent accepted RFCs.</w:t>
      </w:r>
    </w:p>
    <w:p>
      <w:r>
        <w:t>Phase E – Record ADRs for technology choices.</w:t>
      </w:r>
    </w:p>
    <w:p>
      <w:r>
        <w:t>Phase F – Review evidence before changing RFC status.</w:t>
      </w:r>
    </w:p>
    <w:p>
      <w:pPr>
        <w:pStyle w:val="Heading1"/>
      </w:pPr>
      <w:r>
        <w:t>Change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Version</w:t>
            </w:r>
          </w:p>
        </w:tc>
        <w:tc>
          <w:tcPr>
            <w:tcW w:type="dxa" w:w="2484"/>
          </w:tcPr>
          <w:p>
            <w:r>
              <w:t>Date</w:t>
            </w:r>
          </w:p>
        </w:tc>
        <w:tc>
          <w:tcPr>
            <w:tcW w:type="dxa" w:w="2484"/>
          </w:tcPr>
          <w:p>
            <w:r>
              <w:t>Author</w:t>
            </w:r>
          </w:p>
        </w:tc>
        <w:tc>
          <w:tcPr>
            <w:tcW w:type="dxa" w:w="2484"/>
          </w:tcPr>
          <w:p>
            <w:r>
              <w:t>Change</w:t>
            </w:r>
          </w:p>
        </w:tc>
      </w:tr>
      <w:tr>
        <w:tc>
          <w:tcPr>
            <w:tcW w:type="dxa" w:w="2484"/>
          </w:tcPr>
          <w:p>
            <w:r>
              <w:t>0.1.0</w:t>
            </w:r>
          </w:p>
        </w:tc>
        <w:tc>
          <w:tcPr>
            <w:tcW w:type="dxa" w:w="2484"/>
          </w:tcPr>
          <w:p>
            <w:r>
              <w:t>2026-07-09</w:t>
            </w:r>
          </w:p>
        </w:tc>
        <w:tc>
          <w:tcPr>
            <w:tcW w:type="dxa" w:w="2484"/>
          </w:tcPr>
          <w:p>
            <w:r>
              <w:t>Denver Jacobs</w:t>
            </w:r>
          </w:p>
        </w:tc>
        <w:tc>
          <w:tcPr>
            <w:tcW w:type="dxa" w:w="2484"/>
          </w:tcPr>
          <w:p>
            <w:r>
              <w:t>Initial draft</w:t>
            </w:r>
          </w:p>
        </w:tc>
      </w:tr>
    </w:tbl>
    <w:p>
      <w:pPr>
        <w:pStyle w:val="Heading1"/>
      </w:pPr>
      <w:r>
        <w:t>Architecture Decisions Required</w:t>
      </w:r>
    </w:p>
    <w:p>
      <w:r>
        <w:t>Technology-specific decisions discovered during implementation SHALL be captured as ADRs rather than silently embedded into code.</w:t>
      </w:r>
    </w:p>
    <w:p>
      <w:pPr>
        <w:pStyle w:val="Heading1"/>
      </w:pPr>
      <w:r>
        <w:t>References</w:t>
      </w:r>
    </w:p>
    <w:p>
      <w:r>
        <w:t>SynapseOS Governance Library (GOV series); SynapseOS Standards Library (STD-001 through STD-030); related RFCs as identified by dependency.</w:t>
      </w:r>
    </w:p>
    <w:p>
      <w:pPr>
        <w:pStyle w:val="Heading1"/>
      </w:pPr>
      <w:r>
        <w:t>Approval</w:t>
      </w:r>
    </w:p>
    <w:p>
      <w:r>
        <w:t>Author: Denver Jacobs ____________________  Date: __________</w:t>
        <w:br/>
        <w:br/>
        <w:t>Architecture Review: ____________________  Date: __________</w:t>
        <w:br/>
        <w:br/>
        <w:t>Security Review: ________________________  Date: __________</w:t>
        <w:br/>
        <w:br/>
        <w:t>Approved By: ___________________________  Date: __________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