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RFC-0008 – Tool Execution Gateway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RFC-0008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Tool Execution Gateway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RFC-0008 for Tool Execution Gateway.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the controlled gateway through which agents and services invoke registered actions.</w:t>
      </w:r>
    </w:p>
    <w:p>
      <w:pPr>
        <w:pStyle w:val="Heading1"/>
      </w:pPr>
      <w:r>
        <w:t>2. Gateway Role</w:t>
      </w:r>
    </w:p>
    <w:p>
      <w:r>
        <w:t>Centralise tool discovery, schema validation, authorisation, approval binding, execution controls and evidence.</w:t>
      </w:r>
    </w:p>
    <w:p>
      <w:pPr>
        <w:pStyle w:val="Heading1"/>
      </w:pPr>
      <w:r>
        <w:t>3. Tool Descriptor</w:t>
      </w:r>
    </w:p>
    <w:p>
      <w:r>
        <w:t>tool_id, version, owner, actions, input/output schemas, side-effect class, required capabilities, timeout, retry policy and lifecycle.</w:t>
      </w:r>
    </w:p>
    <w:p>
      <w:pPr>
        <w:pStyle w:val="Heading1"/>
      </w:pPr>
      <w:r>
        <w:t>4. Registration</w:t>
      </w:r>
    </w:p>
    <w:p>
      <w:r>
        <w:t>Only approved tools enter production registry; duplicate IDs/versions are rejected.</w:t>
      </w:r>
    </w:p>
    <w:p>
      <w:pPr>
        <w:pStyle w:val="Heading1"/>
      </w:pPr>
      <w:r>
        <w:t>5. Discovery</w:t>
      </w:r>
    </w:p>
    <w:p>
      <w:r>
        <w:t>Callers see only tools eligible for their context where feasible.</w:t>
      </w:r>
    </w:p>
    <w:p>
      <w:pPr>
        <w:pStyle w:val="Heading1"/>
      </w:pPr>
      <w:r>
        <w:t>6. Invocation Request</w:t>
      </w:r>
    </w:p>
    <w:p>
      <w:r>
        <w:t>request_id, tool_id/version, action, arguments, execution context, idempotency key and optional approval reference.</w:t>
      </w:r>
    </w:p>
    <w:p>
      <w:pPr>
        <w:pStyle w:val="Heading1"/>
      </w:pPr>
      <w:r>
        <w:t>7. Validation</w:t>
      </w:r>
    </w:p>
    <w:p>
      <w:r>
        <w:t>Validate schema, sizes, enums, formats, resource references and prohibited unknown fields.</w:t>
      </w:r>
    </w:p>
    <w:p>
      <w:pPr>
        <w:pStyle w:val="Heading1"/>
      </w:pPr>
      <w:r>
        <w:t>8. Normalisation</w:t>
      </w:r>
    </w:p>
    <w:p>
      <w:r>
        <w:t>Any parameter normalisation occurs before authorisation and is visible in evidence.</w:t>
      </w:r>
    </w:p>
    <w:p>
      <w:pPr>
        <w:pStyle w:val="Heading1"/>
      </w:pPr>
      <w:r>
        <w:t>9. Authorisation</w:t>
      </w:r>
    </w:p>
    <w:p>
      <w:r>
        <w:t>Call RFC-0007 PDP with final material parameters.</w:t>
      </w:r>
    </w:p>
    <w:p>
      <w:pPr>
        <w:pStyle w:val="Heading1"/>
      </w:pPr>
      <w:r>
        <w:t>10. Approval Binding</w:t>
      </w:r>
    </w:p>
    <w:p>
      <w:r>
        <w:t>For approval-required actions verify target, recipient, amount/content hash, expiry and requester context.</w:t>
      </w:r>
    </w:p>
    <w:p>
      <w:pPr>
        <w:pStyle w:val="Heading1"/>
      </w:pPr>
      <w:r>
        <w:t>11. Execution Adapter</w:t>
      </w:r>
    </w:p>
    <w:p>
      <w:r>
        <w:t>Tool implementation is behind a stable adapter interface.</w:t>
      </w:r>
    </w:p>
    <w:p>
      <w:pPr>
        <w:pStyle w:val="Heading1"/>
      </w:pPr>
      <w:r>
        <w:t>12. Timeout</w:t>
      </w:r>
    </w:p>
    <w:p>
      <w:r>
        <w:t>Every invocation has bounded deadline.</w:t>
      </w:r>
    </w:p>
    <w:p>
      <w:pPr>
        <w:pStyle w:val="Heading1"/>
      </w:pPr>
      <w:r>
        <w:t>13. Cancellation</w:t>
      </w:r>
    </w:p>
    <w:p>
      <w:r>
        <w:t>Propagate cancellation where tool supports it.</w:t>
      </w:r>
    </w:p>
    <w:p>
      <w:pPr>
        <w:pStyle w:val="Heading1"/>
      </w:pPr>
      <w:r>
        <w:t>14. Retries</w:t>
      </w:r>
    </w:p>
    <w:p>
      <w:r>
        <w:t>Only according to descriptor and side-effect semantics.</w:t>
      </w:r>
    </w:p>
    <w:p>
      <w:pPr>
        <w:pStyle w:val="Heading1"/>
      </w:pPr>
      <w:r>
        <w:t>15. Idempotency</w:t>
      </w:r>
    </w:p>
    <w:p>
      <w:r>
        <w:t>State-changing actions SHOULD support duplicate prevention.</w:t>
      </w:r>
    </w:p>
    <w:p>
      <w:pPr>
        <w:pStyle w:val="Heading1"/>
      </w:pPr>
      <w:r>
        <w:t>16. Result Envelope</w:t>
      </w:r>
    </w:p>
    <w:p>
      <w:r>
        <w:t>request_id, status, typed result/error, start/end time, side-effect status and evidence references.</w:t>
      </w:r>
    </w:p>
    <w:p>
      <w:pPr>
        <w:pStyle w:val="Heading1"/>
      </w:pPr>
      <w:r>
        <w:t>17. Partial/Unknown Outcome</w:t>
      </w:r>
    </w:p>
    <w:p>
      <w:r>
        <w:t>Represent explicitly; never report success when outcome is uncertain.</w:t>
      </w:r>
    </w:p>
    <w:p>
      <w:pPr>
        <w:pStyle w:val="Heading1"/>
      </w:pPr>
      <w:r>
        <w:t>18. Dry Run</w:t>
      </w:r>
    </w:p>
    <w:p>
      <w:r>
        <w:t>Descriptor MAY expose preview/dry-run action distinct from execution.</w:t>
      </w:r>
    </w:p>
    <w:p>
      <w:pPr>
        <w:pStyle w:val="Heading1"/>
      </w:pPr>
      <w:r>
        <w:t>19. Sandbox</w:t>
      </w:r>
    </w:p>
    <w:p>
      <w:r>
        <w:t>Code/shell/browser tools require isolation proportional to risk.</w:t>
      </w:r>
    </w:p>
    <w:p>
      <w:pPr>
        <w:pStyle w:val="Heading1"/>
      </w:pPr>
      <w:r>
        <w:t>20. Secrets</w:t>
      </w:r>
    </w:p>
    <w:p>
      <w:r>
        <w:t>Resolve scoped secrets at execution boundary; avoid returning them to callers/models.</w:t>
      </w:r>
    </w:p>
    <w:p>
      <w:pPr>
        <w:pStyle w:val="Heading1"/>
      </w:pPr>
      <w:r>
        <w:t>21. Output Trust</w:t>
      </w:r>
    </w:p>
    <w:p>
      <w:r>
        <w:t>Returned content remains untrusted data.</w:t>
      </w:r>
    </w:p>
    <w:p>
      <w:pPr>
        <w:pStyle w:val="Heading1"/>
      </w:pPr>
      <w:r>
        <w:t>22. Rate Limits</w:t>
      </w:r>
    </w:p>
    <w:p>
      <w:r>
        <w:t>Per principal, tenant, tool and action.</w:t>
      </w:r>
    </w:p>
    <w:p>
      <w:pPr>
        <w:pStyle w:val="Heading1"/>
      </w:pPr>
      <w:r>
        <w:t>23. Circuit Breakers</w:t>
      </w:r>
    </w:p>
    <w:p>
      <w:r>
        <w:t>Protect failing dependencies.</w:t>
      </w:r>
    </w:p>
    <w:p>
      <w:pPr>
        <w:pStyle w:val="Heading1"/>
      </w:pPr>
      <w:r>
        <w:t>24. Disablement</w:t>
      </w:r>
    </w:p>
    <w:p>
      <w:r>
        <w:t>Operators can suspend tool/version/action rapidly.</w:t>
      </w:r>
    </w:p>
    <w:p>
      <w:pPr>
        <w:pStyle w:val="Heading1"/>
      </w:pPr>
      <w:r>
        <w:t>25. Observability</w:t>
      </w:r>
    </w:p>
    <w:p>
      <w:r>
        <w:t>Trace each stage: received, validated, authorised, approved, dispatched, completed.</w:t>
      </w:r>
    </w:p>
    <w:p>
      <w:pPr>
        <w:pStyle w:val="Heading1"/>
      </w:pPr>
      <w:r>
        <w:t>26. Audit</w:t>
      </w:r>
    </w:p>
    <w:p>
      <w:r>
        <w:t>Consequential actions preserve immutable-enough evidence appropriate to impact.</w:t>
      </w:r>
    </w:p>
    <w:p>
      <w:pPr>
        <w:pStyle w:val="Heading1"/>
      </w:pPr>
      <w:r>
        <w:t>27. Testing</w:t>
      </w:r>
    </w:p>
    <w:p>
      <w:r>
        <w:t>Malformed args, hidden fields, denied action, expired approval, timeout, duplicate, partial failure and injection.</w:t>
      </w:r>
    </w:p>
    <w:p>
      <w:pPr>
        <w:pStyle w:val="Heading1"/>
      </w:pPr>
      <w:r>
        <w:t>28. Acceptance Criteria</w:t>
      </w:r>
    </w:p>
    <w:p>
      <w:r>
        <w:t>Gateway executes a registered read tool and reversible write tool with schema, capability, timeout and evidence.</w:t>
      </w:r>
    </w:p>
    <w:p>
      <w:pPr>
        <w:pStyle w:val="Heading1"/>
      </w:pPr>
      <w:r>
        <w:t>29. Open Questions</w:t>
      </w:r>
    </w:p>
    <w:p>
      <w:r>
        <w:t>In-process versus service boundary; schema standard; sandbox technology.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