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RFC-0009 – Configuration System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RFC-0009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Configuration System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Applicable GOV and STD documents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document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RFC-0009 for Configuration System. Implementation SHALL remain consistent with approved governance, standards and later accepted amendments.</w:t>
      </w:r>
    </w:p>
    <w:p>
      <w:pPr>
        <w:pStyle w:val="Heading1"/>
      </w:pPr>
      <w:r>
        <w:t>1. Abstract</w:t>
      </w:r>
    </w:p>
    <w:p>
      <w:r>
        <w:t>Defines typed, layered, versioned and observable configuration for SynapseOS.</w:t>
      </w:r>
    </w:p>
    <w:p>
      <w:pPr>
        <w:pStyle w:val="Heading1"/>
      </w:pPr>
      <w:r>
        <w:t>2. Configuration Classes</w:t>
      </w:r>
    </w:p>
    <w:p>
      <w:r>
        <w:t>Bootstrap, Runtime, Feature, Policy Reference, Secret Reference and Environment.</w:t>
      </w:r>
    </w:p>
    <w:p>
      <w:pPr>
        <w:pStyle w:val="Heading1"/>
      </w:pPr>
      <w:r>
        <w:t>3. Principle</w:t>
      </w:r>
    </w:p>
    <w:p>
      <w:r>
        <w:t>Configuration is explicit data; secrets are references; policy is not ordinary configuration.</w:t>
      </w:r>
    </w:p>
    <w:p>
      <w:pPr>
        <w:pStyle w:val="Heading1"/>
      </w:pPr>
      <w:r>
        <w:t>4. Sources</w:t>
      </w:r>
    </w:p>
    <w:p>
      <w:r>
        <w:t>Defaults, files, environment variables, local secure store and future remote provider.</w:t>
      </w:r>
    </w:p>
    <w:p>
      <w:pPr>
        <w:pStyle w:val="Heading1"/>
      </w:pPr>
      <w:r>
        <w:t>5. Precedence</w:t>
      </w:r>
    </w:p>
    <w:p>
      <w:r>
        <w:t>Document deterministic precedence; Phase 1 proposal: defaults &lt; base file &lt; environment file &lt; environment variables &lt; approved runtime override.</w:t>
      </w:r>
    </w:p>
    <w:p>
      <w:pPr>
        <w:pStyle w:val="Heading1"/>
      </w:pPr>
      <w:r>
        <w:t>6. Schema</w:t>
      </w:r>
    </w:p>
    <w:p>
      <w:r>
        <w:t>Every configuration domain has typed schema, validation and version.</w:t>
      </w:r>
    </w:p>
    <w:p>
      <w:pPr>
        <w:pStyle w:val="Heading1"/>
      </w:pPr>
      <w:r>
        <w:t>7. Unknown Keys</w:t>
      </w:r>
    </w:p>
    <w:p>
      <w:r>
        <w:t>Reject or warn according to strict mode; production SHOULD reject unknown critical keys.</w:t>
      </w:r>
    </w:p>
    <w:p>
      <w:pPr>
        <w:pStyle w:val="Heading1"/>
      </w:pPr>
      <w:r>
        <w:t>8. Secrets</w:t>
      </w:r>
    </w:p>
    <w:p>
      <w:r>
        <w:t>Never store plaintext secrets in ordinary committed configuration.</w:t>
      </w:r>
    </w:p>
    <w:p>
      <w:pPr>
        <w:pStyle w:val="Heading1"/>
      </w:pPr>
      <w:r>
        <w:t>9. Environment Separation</w:t>
      </w:r>
    </w:p>
    <w:p>
      <w:r>
        <w:t>Development and production configuration are distinct.</w:t>
      </w:r>
    </w:p>
    <w:p>
      <w:pPr>
        <w:pStyle w:val="Heading1"/>
      </w:pPr>
      <w:r>
        <w:t>10. Snapshots</w:t>
      </w:r>
    </w:p>
    <w:p>
      <w:r>
        <w:t>Each run SHOULD reference effective configuration version/snapshot for reproducibility.</w:t>
      </w:r>
    </w:p>
    <w:p>
      <w:pPr>
        <w:pStyle w:val="Heading1"/>
      </w:pPr>
      <w:r>
        <w:t>11. Dynamic Reload</w:t>
      </w:r>
    </w:p>
    <w:p>
      <w:r>
        <w:t>Only explicitly reloadable keys may change without restart.</w:t>
      </w:r>
    </w:p>
    <w:p>
      <w:pPr>
        <w:pStyle w:val="Heading1"/>
      </w:pPr>
      <w:r>
        <w:t>12. Atomicity</w:t>
      </w:r>
    </w:p>
    <w:p>
      <w:r>
        <w:t>Apply related configuration changes atomically where possible.</w:t>
      </w:r>
    </w:p>
    <w:p>
      <w:pPr>
        <w:pStyle w:val="Heading1"/>
      </w:pPr>
      <w:r>
        <w:t>13. Validation</w:t>
      </w:r>
    </w:p>
    <w:p>
      <w:r>
        <w:t>Validate before activation and preserve previous known-good state.</w:t>
      </w:r>
    </w:p>
    <w:p>
      <w:pPr>
        <w:pStyle w:val="Heading1"/>
      </w:pPr>
      <w:r>
        <w:t>14. Rollback</w:t>
      </w:r>
    </w:p>
    <w:p>
      <w:r>
        <w:t>Runtime configuration changes support rollback.</w:t>
      </w:r>
    </w:p>
    <w:p>
      <w:pPr>
        <w:pStyle w:val="Heading1"/>
      </w:pPr>
      <w:r>
        <w:t>15. Feature Flags</w:t>
      </w:r>
    </w:p>
    <w:p>
      <w:r>
        <w:t>Typed, owned, expiring where temporary, and not substitutes for authorisation.</w:t>
      </w:r>
    </w:p>
    <w:p>
      <w:pPr>
        <w:pStyle w:val="Heading1"/>
      </w:pPr>
      <w:r>
        <w:t>16. Kill Switches</w:t>
      </w:r>
    </w:p>
    <w:p>
      <w:r>
        <w:t>Critical disablement flags have protected access and high observability.</w:t>
      </w:r>
    </w:p>
    <w:p>
      <w:pPr>
        <w:pStyle w:val="Heading1"/>
      </w:pPr>
      <w:r>
        <w:t>17. Tenant Configuration</w:t>
      </w:r>
    </w:p>
    <w:p>
      <w:r>
        <w:t>Tenant overrides are namespaced and cannot broaden platform authority.</w:t>
      </w:r>
    </w:p>
    <w:p>
      <w:pPr>
        <w:pStyle w:val="Heading1"/>
      </w:pPr>
      <w:r>
        <w:t>18. Agent Configuration</w:t>
      </w:r>
    </w:p>
    <w:p>
      <w:r>
        <w:t>Agent settings cannot grant capabilities.</w:t>
      </w:r>
    </w:p>
    <w:p>
      <w:pPr>
        <w:pStyle w:val="Heading1"/>
      </w:pPr>
      <w:r>
        <w:t>19. Model Configuration</w:t>
      </w:r>
    </w:p>
    <w:p>
      <w:r>
        <w:t>Record model ID and critical parameters; changes trigger evaluation rules.</w:t>
      </w:r>
    </w:p>
    <w:p>
      <w:pPr>
        <w:pStyle w:val="Heading1"/>
      </w:pPr>
      <w:r>
        <w:t>20. Provenance</w:t>
      </w:r>
    </w:p>
    <w:p>
      <w:r>
        <w:t>Track source, actor, time and version for material changes.</w:t>
      </w:r>
    </w:p>
    <w:p>
      <w:pPr>
        <w:pStyle w:val="Heading1"/>
      </w:pPr>
      <w:r>
        <w:t>21. Audit</w:t>
      </w:r>
    </w:p>
    <w:p>
      <w:r>
        <w:t>Record production changes without exposing secret values.</w:t>
      </w:r>
    </w:p>
    <w:p>
      <w:pPr>
        <w:pStyle w:val="Heading1"/>
      </w:pPr>
      <w:r>
        <w:t>22. Drift</w:t>
      </w:r>
    </w:p>
    <w:p>
      <w:r>
        <w:t>Detect effective configuration divergence across instances where relevant.</w:t>
      </w:r>
    </w:p>
    <w:p>
      <w:pPr>
        <w:pStyle w:val="Heading1"/>
      </w:pPr>
      <w:r>
        <w:t>23. Bootstrap Failure</w:t>
      </w:r>
    </w:p>
    <w:p>
      <w:r>
        <w:t>Invalid critical bootstrap configuration prevents readiness.</w:t>
      </w:r>
    </w:p>
    <w:p>
      <w:pPr>
        <w:pStyle w:val="Heading1"/>
      </w:pPr>
      <w:r>
        <w:t>24. API</w:t>
      </w:r>
    </w:p>
    <w:p>
      <w:r>
        <w:t>Provide typed read interface and protected change interface.</w:t>
      </w:r>
    </w:p>
    <w:p>
      <w:pPr>
        <w:pStyle w:val="Heading1"/>
      </w:pPr>
      <w:r>
        <w:t>25. Testing</w:t>
      </w:r>
    </w:p>
    <w:p>
      <w:r>
        <w:t>Precedence, invalid values, secret redaction, reload, rollback and cross-tenant isolation.</w:t>
      </w:r>
    </w:p>
    <w:p>
      <w:pPr>
        <w:pStyle w:val="Heading1"/>
      </w:pPr>
      <w:r>
        <w:t>26. Acceptance Criteria</w:t>
      </w:r>
    </w:p>
    <w:p>
      <w:r>
        <w:t>Reference config service loads layered typed config, rejects invalid production config, snapshots effective values and rolls back a runtime change.</w:t>
      </w:r>
    </w:p>
    <w:p>
      <w:pPr>
        <w:pStyle w:val="Heading1"/>
      </w:pPr>
      <w:r>
        <w:t>27. Open Questions</w:t>
      </w:r>
    </w:p>
    <w:p>
      <w:r>
        <w:t>File format; remote config timing; schema library.</w:t>
      </w:r>
    </w:p>
    <w:p>
      <w:pPr>
        <w:pStyle w:val="Heading1"/>
      </w:pPr>
      <w:r>
        <w:t>Conformance Requirements</w:t>
      </w:r>
    </w:p>
    <w:p>
      <w:r>
        <w:t>□ Implementation identifies the RFC version it targets.</w:t>
      </w:r>
    </w:p>
    <w:p>
      <w:r>
        <w:t>□ Mandatory interfaces and invariants are tested.</w:t>
      </w:r>
    </w:p>
    <w:p>
      <w:r>
        <w:t>□ Security boundaries are enforced outside model prompts.</w:t>
      </w:r>
    </w:p>
    <w:p>
      <w:r>
        <w:t>□ Failure and negative paths are covered.</w:t>
      </w:r>
    </w:p>
    <w:p>
      <w:r>
        <w:t>□ Observability evidence is available.</w:t>
      </w:r>
    </w:p>
    <w:p>
      <w:r>
        <w:t>□ Deviations are documented through ADR/RFC governance.</w:t>
      </w:r>
    </w:p>
    <w:p>
      <w:r>
        <w:t>□ No implementation claim is accepted without executable or reviewable evidence.</w:t>
      </w:r>
    </w:p>
    <w:p>
      <w:pPr>
        <w:pStyle w:val="Heading1"/>
      </w:pPr>
      <w:r>
        <w:t>Implementation Plan</w:t>
      </w:r>
    </w:p>
    <w:p>
      <w:r>
        <w:t>Phase A – Create interfaces, schemas and conformance tests.</w:t>
      </w:r>
    </w:p>
    <w:p>
      <w:r>
        <w:t>Phase B – Build the smallest local reference implementation.</w:t>
      </w:r>
    </w:p>
    <w:p>
      <w:r>
        <w:t>Phase C – Execute negative, failure and security tests.</w:t>
      </w:r>
    </w:p>
    <w:p>
      <w:r>
        <w:t>Phase D – Integrate with dependent accepted RFCs.</w:t>
      </w:r>
    </w:p>
    <w:p>
      <w:r>
        <w:t>Phase E – Record ADRs for technology choices.</w:t>
      </w:r>
    </w:p>
    <w:p>
      <w:r>
        <w:t>Phase F – Review evidence before changing RFC status.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 (GOV series); SynapseOS Standards Library (STD-001 through STD-030); related RFCs as identified by dependency.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