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RFC Library</w:t>
      </w:r>
    </w:p>
    <w:p>
      <w:pPr>
        <w:jc w:val="center"/>
      </w:pPr>
      <w:r>
        <w:rPr>
          <w:b/>
        </w:rPr>
        <w:t>Volume III – Implementation Contracts</w:t>
        <w:br/>
      </w:r>
      <w:r>
        <w:t>RFC-0011 – Memory Architecture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RFC-0011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Memory Architecture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SynapseOS Reference Architecture</w:t>
            </w:r>
          </w:p>
        </w:tc>
      </w:tr>
      <w:tr>
        <w:tc>
          <w:tcPr>
            <w:tcW w:type="dxa" w:w="4968"/>
          </w:tcPr>
          <w:p>
            <w:r>
              <w:t>Requires</w:t>
            </w:r>
          </w:p>
        </w:tc>
        <w:tc>
          <w:tcPr>
            <w:tcW w:type="dxa" w:w="4968"/>
          </w:tcPr>
          <w:p>
            <w:r>
              <w:t>RFC-0001 and applicable predecessor RFCs; GOV and STD libraries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RFC Status and Normative Language</w:t>
      </w:r>
    </w:p>
    <w:p>
      <w:r>
        <w:t>This is a Draft implementation contract. SHALL and MUST denote mandatory conformance requirements; SHOULD denotes a recommended requirement requiring justification when omitted; MAY denotes an optional capability.</w:t>
      </w:r>
    </w:p>
    <w:p>
      <w:pPr>
        <w:pStyle w:val="Heading1"/>
      </w:pPr>
      <w:r>
        <w:t>Decision Summary</w:t>
      </w:r>
    </w:p>
    <w:p>
      <w:r>
        <w:t>Adopt the architecture and contracts defined by RFC-0011 for Memory Architecture, subject to architecture review, dependency validation and accepted amendments.</w:t>
      </w:r>
    </w:p>
    <w:p>
      <w:pPr>
        <w:pStyle w:val="Heading1"/>
      </w:pPr>
      <w:r>
        <w:t>1. Abstract</w:t>
      </w:r>
    </w:p>
    <w:p>
      <w:r>
        <w:t>Defines the persistent and transient memory architecture for SynapseOS.</w:t>
      </w:r>
    </w:p>
    <w:p>
      <w:pPr>
        <w:pStyle w:val="Heading1"/>
      </w:pPr>
      <w:r>
        <w:t>2. Goals</w:t>
      </w:r>
    </w:p>
    <w:p>
      <w:r>
        <w:t>Support working, episodic, semantic, procedural, user, agent, team and organisational memory with provenance, isolation, correction and forgetting.</w:t>
      </w:r>
    </w:p>
    <w:p>
      <w:pPr>
        <w:pStyle w:val="Heading1"/>
      </w:pPr>
      <w:r>
        <w:t>3. Non-Goals</w:t>
      </w:r>
    </w:p>
    <w:p>
      <w:r>
        <w:t>Memory is not an unquestionable truth store, policy engine or unrestricted transcript archive.</w:t>
      </w:r>
    </w:p>
    <w:p>
      <w:pPr>
        <w:pStyle w:val="Heading1"/>
      </w:pPr>
      <w:r>
        <w:t>4. Memory Types</w:t>
      </w:r>
    </w:p>
    <w:p>
      <w:r>
        <w:t>Working memory is run-scoped; episodic memory records events; semantic memory stores generalised claims; procedural memory stores governed reusable procedures.</w:t>
      </w:r>
    </w:p>
    <w:p>
      <w:pPr>
        <w:pStyle w:val="Heading1"/>
      </w:pPr>
      <w:r>
        <w:t>5. Namespace Model</w:t>
      </w:r>
    </w:p>
    <w:p>
      <w:r>
        <w:t>Every memory entry belongs to explicit tenant, subject and memory namespaces. Cross-namespace retrieval is denied unless authorised.</w:t>
      </w:r>
    </w:p>
    <w:p>
      <w:pPr>
        <w:pStyle w:val="Heading1"/>
      </w:pPr>
      <w:r>
        <w:t>6. Memory Record</w:t>
      </w:r>
    </w:p>
    <w:p>
      <w:r>
        <w:t>Canonical fields include memory_id, namespace, type, content/reference, source, creator, timestamps, classification, confidence, purpose, expiry and status.</w:t>
      </w:r>
    </w:p>
    <w:p>
      <w:pPr>
        <w:pStyle w:val="Heading1"/>
      </w:pPr>
      <w:r>
        <w:t>7. Write Pipeline</w:t>
      </w:r>
    </w:p>
    <w:p>
      <w:r>
        <w:t>Propose → validate → classify → authorise → deduplicate → persist → index → emit event.</w:t>
      </w:r>
    </w:p>
    <w:p>
      <w:pPr>
        <w:pStyle w:val="Heading1"/>
      </w:pPr>
      <w:r>
        <w:t>8. Write Authority</w:t>
      </w:r>
    </w:p>
    <w:p>
      <w:r>
        <w:t>Only identities with explicit memory-write capability may persist. Model inference alone cannot authorise persistence.</w:t>
      </w:r>
    </w:p>
    <w:p>
      <w:pPr>
        <w:pStyle w:val="Heading1"/>
      </w:pPr>
      <w:r>
        <w:t>9. Inferred Memory</w:t>
      </w:r>
    </w:p>
    <w:p>
      <w:r>
        <w:t>AI-derived entries SHALL be labelled inferred and preserve derivation evidence.</w:t>
      </w:r>
    </w:p>
    <w:p>
      <w:pPr>
        <w:pStyle w:val="Heading1"/>
      </w:pPr>
      <w:r>
        <w:t>10. Read Pipeline</w:t>
      </w:r>
    </w:p>
    <w:p>
      <w:r>
        <w:t>Authorise query context → retrieve candidates → permission filter → rank → freshness/conflict checks → return bounded context.</w:t>
      </w:r>
    </w:p>
    <w:p>
      <w:pPr>
        <w:pStyle w:val="Heading1"/>
      </w:pPr>
      <w:r>
        <w:t>11. Relevance</w:t>
      </w:r>
    </w:p>
    <w:p>
      <w:r>
        <w:t>Retrieval considers task relevance, recency, confidence, purpose and namespace.</w:t>
      </w:r>
    </w:p>
    <w:p>
      <w:pPr>
        <w:pStyle w:val="Heading1"/>
      </w:pPr>
      <w:r>
        <w:t>12. Working Memory</w:t>
      </w:r>
    </w:p>
    <w:p>
      <w:r>
        <w:t>Default ephemeral and bounded by run/task lifecycle.</w:t>
      </w:r>
    </w:p>
    <w:p>
      <w:pPr>
        <w:pStyle w:val="Heading1"/>
      </w:pPr>
      <w:r>
        <w:t>13. Episodic Memory</w:t>
      </w:r>
    </w:p>
    <w:p>
      <w:r>
        <w:t>Records meaningful events with correlation to process/run/task and source evidence.</w:t>
      </w:r>
    </w:p>
    <w:p>
      <w:pPr>
        <w:pStyle w:val="Heading1"/>
      </w:pPr>
      <w:r>
        <w:t>14. Semantic Consolidation</w:t>
      </w:r>
    </w:p>
    <w:p>
      <w:r>
        <w:t>Promotion from episodes to semantic memory is a governed learning operation, not automatic summarisation.</w:t>
      </w:r>
    </w:p>
    <w:p>
      <w:pPr>
        <w:pStyle w:val="Heading1"/>
      </w:pPr>
      <w:r>
        <w:t>15. Procedural Memory</w:t>
      </w:r>
    </w:p>
    <w:p>
      <w:r>
        <w:t>Procedures require owner, version, safety constraints and capability requirements.</w:t>
      </w:r>
    </w:p>
    <w:p>
      <w:pPr>
        <w:pStyle w:val="Heading1"/>
      </w:pPr>
      <w:r>
        <w:t>16. Policy Separation</w:t>
      </w:r>
    </w:p>
    <w:p>
      <w:r>
        <w:t>Policy memory is physically or logically protected from ordinary memory writes.</w:t>
      </w:r>
    </w:p>
    <w:p>
      <w:pPr>
        <w:pStyle w:val="Heading1"/>
      </w:pPr>
      <w:r>
        <w:t>17. User Memory</w:t>
      </w:r>
    </w:p>
    <w:p>
      <w:r>
        <w:t>Persistent personalisation requires purpose, expected use, correction and deletion semantics.</w:t>
      </w:r>
    </w:p>
    <w:p>
      <w:pPr>
        <w:pStyle w:val="Heading1"/>
      </w:pPr>
      <w:r>
        <w:t>18. Agent Memory</w:t>
      </w:r>
    </w:p>
    <w:p>
      <w:r>
        <w:t>Agent-private memory does not become shared memory implicitly.</w:t>
      </w:r>
    </w:p>
    <w:p>
      <w:pPr>
        <w:pStyle w:val="Heading1"/>
      </w:pPr>
      <w:r>
        <w:t>19. Shared Memory</w:t>
      </w:r>
    </w:p>
    <w:p>
      <w:r>
        <w:t>Team/organisational sharing requires explicit membership and write policy.</w:t>
      </w:r>
    </w:p>
    <w:p>
      <w:pPr>
        <w:pStyle w:val="Heading1"/>
      </w:pPr>
      <w:r>
        <w:t>20. Conflict</w:t>
      </w:r>
    </w:p>
    <w:p>
      <w:r>
        <w:t>Contradictory entries are preserved and represented; newer does not automatically mean truer.</w:t>
      </w:r>
    </w:p>
    <w:p>
      <w:pPr>
        <w:pStyle w:val="Heading1"/>
      </w:pPr>
      <w:r>
        <w:t>21. Temporal Validity</w:t>
      </w:r>
    </w:p>
    <w:p>
      <w:r>
        <w:t>Entries MAY include valid_from and valid_to.</w:t>
      </w:r>
    </w:p>
    <w:p>
      <w:pPr>
        <w:pStyle w:val="Heading1"/>
      </w:pPr>
      <w:r>
        <w:t>22. Supersession</w:t>
      </w:r>
    </w:p>
    <w:p>
      <w:r>
        <w:t>Corrections and newer facts can supersede without destroying history.</w:t>
      </w:r>
    </w:p>
    <w:p>
      <w:pPr>
        <w:pStyle w:val="Heading1"/>
      </w:pPr>
      <w:r>
        <w:t>23. Forgetting</w:t>
      </w:r>
    </w:p>
    <w:p>
      <w:r>
        <w:t>Expiry, explicit deletion and administrative deletion are first-class operations.</w:t>
      </w:r>
    </w:p>
    <w:p>
      <w:pPr>
        <w:pStyle w:val="Heading1"/>
      </w:pPr>
      <w:r>
        <w:t>24. Derived Deletion</w:t>
      </w:r>
    </w:p>
    <w:p>
      <w:r>
        <w:t>Deletion propagates to embeddings, indexes, summaries and caches according to policy.</w:t>
      </w:r>
    </w:p>
    <w:p>
      <w:pPr>
        <w:pStyle w:val="Heading1"/>
      </w:pPr>
      <w:r>
        <w:t>25. Tombstones</w:t>
      </w:r>
    </w:p>
    <w:p>
      <w:r>
        <w:t>Use where needed to prevent deleted content from reappearing through re-ingestion.</w:t>
      </w:r>
    </w:p>
    <w:p>
      <w:pPr>
        <w:pStyle w:val="Heading1"/>
      </w:pPr>
      <w:r>
        <w:t>26. Poisoning Defence</w:t>
      </w:r>
    </w:p>
    <w:p>
      <w:r>
        <w:t>Treat stored content as untrusted; memory cannot create capabilities or privileged instructions.</w:t>
      </w:r>
    </w:p>
    <w:p>
      <w:pPr>
        <w:pStyle w:val="Heading1"/>
      </w:pPr>
      <w:r>
        <w:t>27. Storage Abstraction</w:t>
      </w:r>
    </w:p>
    <w:p>
      <w:r>
        <w:t>Memory service exposes stable repository interfaces independent of database/vector technology.</w:t>
      </w:r>
    </w:p>
    <w:p>
      <w:pPr>
        <w:pStyle w:val="Heading1"/>
      </w:pPr>
      <w:r>
        <w:t>28. Indexing</w:t>
      </w:r>
    </w:p>
    <w:p>
      <w:r>
        <w:t>Derived indexes reference source memory IDs and index/model versions.</w:t>
      </w:r>
    </w:p>
    <w:p>
      <w:pPr>
        <w:pStyle w:val="Heading1"/>
      </w:pPr>
      <w:r>
        <w:t>29. Observability</w:t>
      </w:r>
    </w:p>
    <w:p>
      <w:r>
        <w:t>Record writes, reads, corrections, deletions, denied access, poisoning flags and retrieval quality.</w:t>
      </w:r>
    </w:p>
    <w:p>
      <w:pPr>
        <w:pStyle w:val="Heading1"/>
      </w:pPr>
      <w:r>
        <w:t>30. Testing</w:t>
      </w:r>
    </w:p>
    <w:p>
      <w:r>
        <w:t>Namespace isolation, stale memory, contradiction, poisoning, correction, deletion propagation and re-ingestion.</w:t>
      </w:r>
    </w:p>
    <w:p>
      <w:pPr>
        <w:pStyle w:val="Heading1"/>
      </w:pPr>
      <w:r>
        <w:t>31. Acceptance Criteria</w:t>
      </w:r>
    </w:p>
    <w:p>
      <w:r>
        <w:t>Reference implementation writes and retrieves scoped memory, corrects an entry, deletes it and proves derived index removal.</w:t>
      </w:r>
    </w:p>
    <w:p>
      <w:pPr>
        <w:pStyle w:val="Heading1"/>
      </w:pPr>
      <w:r>
        <w:t>32. Open Questions</w:t>
      </w:r>
    </w:p>
    <w:p>
      <w:r>
        <w:t>Phase 1 memory store; consolidation timing; default retention; vector integration.</w:t>
      </w:r>
    </w:p>
    <w:p>
      <w:pPr>
        <w:pStyle w:val="Heading1"/>
      </w:pPr>
      <w:r>
        <w:t>Conformance Requirements</w:t>
      </w:r>
    </w:p>
    <w:p>
      <w:r>
        <w:t>□ Target RFC version identified</w:t>
      </w:r>
    </w:p>
    <w:p>
      <w:r>
        <w:t>□ Mandatory interfaces/invariants tested</w:t>
      </w:r>
    </w:p>
    <w:p>
      <w:r>
        <w:t>□ Identity and capability boundaries enforced outside prompts</w:t>
      </w:r>
    </w:p>
    <w:p>
      <w:r>
        <w:t>□ Negative/failure paths tested</w:t>
      </w:r>
    </w:p>
    <w:p>
      <w:r>
        <w:t>□ Observability evidence available</w:t>
      </w:r>
    </w:p>
    <w:p>
      <w:r>
        <w:t>□ Data lifecycle requirements implemented</w:t>
      </w:r>
    </w:p>
    <w:p>
      <w:r>
        <w:t>□ Deviations recorded through ADR/RFC governance</w:t>
      </w:r>
    </w:p>
    <w:p>
      <w:r>
        <w:t>□ No unsupported implementation claims</w:t>
      </w:r>
    </w:p>
    <w:p>
      <w:pPr>
        <w:pStyle w:val="Heading1"/>
      </w:pPr>
      <w:r>
        <w:t>Implementation Plan</w:t>
      </w:r>
    </w:p>
    <w:p>
      <w:r>
        <w:t>Phase A – Define schemas and interfaces.</w:t>
      </w:r>
    </w:p>
    <w:p>
      <w:r>
        <w:t>Phase B – Build smallest local reference implementation.</w:t>
      </w:r>
    </w:p>
    <w:p>
      <w:r>
        <w:t>Phase C – Add conformance and negative tests.</w:t>
      </w:r>
    </w:p>
    <w:p>
      <w:r>
        <w:t>Phase D – Integrate predecessor RFC contracts.</w:t>
      </w:r>
    </w:p>
    <w:p>
      <w:r>
        <w:t>Phase E – Record technology choices as ADRs.</w:t>
      </w:r>
    </w:p>
    <w:p>
      <w:r>
        <w:t>Phase F – Review evidence before status change.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draft</w:t>
            </w:r>
          </w:p>
        </w:tc>
      </w:tr>
    </w:tbl>
    <w:p>
      <w:pPr>
        <w:pStyle w:val="Heading1"/>
      </w:pPr>
      <w:r>
        <w:t>Architecture Decisions Required</w:t>
      </w:r>
    </w:p>
    <w:p>
      <w:r>
        <w:t>Technology-specific decisions discovered during implementation SHALL be captured as ADRs rather than silently embedded into code.</w:t>
      </w:r>
    </w:p>
    <w:p>
      <w:pPr>
        <w:pStyle w:val="Heading1"/>
      </w:pPr>
      <w:r>
        <w:t>References</w:t>
      </w:r>
    </w:p>
    <w:p>
      <w:r>
        <w:t>SynapseOS Governance Library; SynapseOS Standards Library STD-001 through STD-030; RFC-0001 through applicable predecessor RFCs.</w:t>
      </w:r>
    </w:p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Architecture Review: 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