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RFC Library</w:t>
      </w:r>
    </w:p>
    <w:p>
      <w:pPr>
        <w:jc w:val="center"/>
      </w:pPr>
      <w:r>
        <w:rPr>
          <w:b/>
        </w:rPr>
        <w:t>Volume III – Implementation Contracts</w:t>
        <w:br/>
      </w:r>
      <w:r>
        <w:t>RFC-0012 – Knowledge Architecture</w:t>
        <w:br/>
        <w:t>Version 0.1.0 (Draft)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Document ID</w:t>
            </w:r>
          </w:p>
        </w:tc>
        <w:tc>
          <w:tcPr>
            <w:tcW w:type="dxa" w:w="4968"/>
          </w:tcPr>
          <w:p>
            <w:r>
              <w:t>RFC-0012</w:t>
            </w:r>
          </w:p>
        </w:tc>
      </w:tr>
      <w:tr>
        <w:tc>
          <w:tcPr>
            <w:tcW w:type="dxa" w:w="4968"/>
          </w:tcPr>
          <w:p>
            <w:r>
              <w:t>Title</w:t>
            </w:r>
          </w:p>
        </w:tc>
        <w:tc>
          <w:tcPr>
            <w:tcW w:type="dxa" w:w="4968"/>
          </w:tcPr>
          <w:p>
            <w:r>
              <w:t>Knowledge Architecture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0.1.0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Draft</w:t>
            </w:r>
          </w:p>
        </w:tc>
      </w:tr>
      <w:tr>
        <w:tc>
          <w:tcPr>
            <w:tcW w:type="dxa" w:w="4968"/>
          </w:tcPr>
          <w:p>
            <w:r>
              <w:t>Author</w:t>
            </w:r>
          </w:p>
        </w:tc>
        <w:tc>
          <w:tcPr>
            <w:tcW w:type="dxa" w:w="4968"/>
          </w:tcPr>
          <w:p>
            <w:r>
              <w:t>Denver Jacobs</w:t>
            </w:r>
          </w:p>
        </w:tc>
      </w:tr>
      <w:tr>
        <w:tc>
          <w:tcPr>
            <w:tcW w:type="dxa" w:w="4968"/>
          </w:tcPr>
          <w:p>
            <w:r>
              <w:t>Reviewers</w:t>
            </w:r>
          </w:p>
        </w:tc>
        <w:tc>
          <w:tcPr>
            <w:tcW w:type="dxa" w:w="4968"/>
          </w:tcPr>
          <w:p>
            <w:r>
              <w:t>TBD</w:t>
            </w:r>
          </w:p>
        </w:tc>
      </w:tr>
      <w:tr>
        <w:tc>
          <w:tcPr>
            <w:tcW w:type="dxa" w:w="4968"/>
          </w:tcPr>
          <w:p>
            <w:r>
              <w:t>Created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Last Updated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Classification</w:t>
            </w:r>
          </w:p>
        </w:tc>
        <w:tc>
          <w:tcPr>
            <w:tcW w:type="dxa" w:w="4968"/>
          </w:tcPr>
          <w:p>
            <w:r>
              <w:t>Public</w:t>
            </w:r>
          </w:p>
        </w:tc>
      </w:tr>
      <w:tr>
        <w:tc>
          <w:tcPr>
            <w:tcW w:type="dxa" w:w="4968"/>
          </w:tcPr>
          <w:p>
            <w:r>
              <w:t>Target</w:t>
            </w:r>
          </w:p>
        </w:tc>
        <w:tc>
          <w:tcPr>
            <w:tcW w:type="dxa" w:w="4968"/>
          </w:tcPr>
          <w:p>
            <w:r>
              <w:t>SynapseOS Reference Architecture</w:t>
            </w:r>
          </w:p>
        </w:tc>
      </w:tr>
      <w:tr>
        <w:tc>
          <w:tcPr>
            <w:tcW w:type="dxa" w:w="4968"/>
          </w:tcPr>
          <w:p>
            <w:r>
              <w:t>Requires</w:t>
            </w:r>
          </w:p>
        </w:tc>
        <w:tc>
          <w:tcPr>
            <w:tcW w:type="dxa" w:w="4968"/>
          </w:tcPr>
          <w:p>
            <w:r>
              <w:t>RFC-0001 and applicable predecessor RFCs; GOV and STD libraries</w:t>
            </w:r>
          </w:p>
        </w:tc>
      </w:tr>
      <w:tr>
        <w:tc>
          <w:tcPr>
            <w:tcW w:type="dxa" w:w="4968"/>
          </w:tcPr>
          <w:p>
            <w:r>
              <w:t>Supersedes</w:t>
            </w:r>
          </w:p>
        </w:tc>
        <w:tc>
          <w:tcPr>
            <w:tcW w:type="dxa" w:w="4968"/>
          </w:tcPr>
          <w:p>
            <w:r>
              <w:t>None</w:t>
            </w:r>
          </w:p>
        </w:tc>
      </w:tr>
    </w:tbl>
    <w:p>
      <w:pPr>
        <w:pStyle w:val="Heading1"/>
      </w:pPr>
      <w:r>
        <w:t>RFC Status and Normative Language</w:t>
      </w:r>
    </w:p>
    <w:p>
      <w:r>
        <w:t>This is a Draft implementation contract. SHALL and MUST denote mandatory conformance requirements; SHOULD denotes a recommended requirement requiring justification when omitted; MAY denotes an optional capability.</w:t>
      </w:r>
    </w:p>
    <w:p>
      <w:pPr>
        <w:pStyle w:val="Heading1"/>
      </w:pPr>
      <w:r>
        <w:t>Decision Summary</w:t>
      </w:r>
    </w:p>
    <w:p>
      <w:r>
        <w:t>Adopt the architecture and contracts defined by RFC-0012 for Knowledge Architecture, subject to architecture review, dependency validation and accepted amendments.</w:t>
      </w:r>
    </w:p>
    <w:p>
      <w:pPr>
        <w:pStyle w:val="Heading1"/>
      </w:pPr>
      <w:r>
        <w:t>1. Abstract</w:t>
      </w:r>
    </w:p>
    <w:p>
      <w:r>
        <w:t>Defines source-backed knowledge ingestion, representation, retrieval and lifecycle.</w:t>
      </w:r>
    </w:p>
    <w:p>
      <w:pPr>
        <w:pStyle w:val="Heading1"/>
      </w:pPr>
      <w:r>
        <w:t>2. Goals</w:t>
      </w:r>
    </w:p>
    <w:p>
      <w:r>
        <w:t>Provide verifiable, provenance-preserving knowledge for reasoning and grounded answers.</w:t>
      </w:r>
    </w:p>
    <w:p>
      <w:pPr>
        <w:pStyle w:val="Heading1"/>
      </w:pPr>
      <w:r>
        <w:t>3. Non-Goals</w:t>
      </w:r>
    </w:p>
    <w:p>
      <w:r>
        <w:t>The knowledge system does not declare retrieved text true merely because it ranks highly.</w:t>
      </w:r>
    </w:p>
    <w:p>
      <w:pPr>
        <w:pStyle w:val="Heading1"/>
      </w:pPr>
      <w:r>
        <w:t>4. Knowledge Objects</w:t>
      </w:r>
    </w:p>
    <w:p>
      <w:r>
        <w:t>Source, Document Version, Chunk, Claim, Entity, Relationship, Summary, Embedding and Index Entry.</w:t>
      </w:r>
    </w:p>
    <w:p>
      <w:pPr>
        <w:pStyle w:val="Heading1"/>
      </w:pPr>
      <w:r>
        <w:t>5. Source Registry</w:t>
      </w:r>
    </w:p>
    <w:p>
      <w:r>
        <w:t>Record source ID, authority class, owner, acquisition method, permissions, freshness and status.</w:t>
      </w:r>
    </w:p>
    <w:p>
      <w:pPr>
        <w:pStyle w:val="Heading1"/>
      </w:pPr>
      <w:r>
        <w:t>6. Document Identity</w:t>
      </w:r>
    </w:p>
    <w:p>
      <w:r>
        <w:t>Stable document identity is distinct from document version.</w:t>
      </w:r>
    </w:p>
    <w:p>
      <w:pPr>
        <w:pStyle w:val="Heading1"/>
      </w:pPr>
      <w:r>
        <w:t>7. Versioning</w:t>
      </w:r>
    </w:p>
    <w:p>
      <w:r>
        <w:t>Store version/hash and acquisition time; preserve supersession relationships.</w:t>
      </w:r>
    </w:p>
    <w:p>
      <w:pPr>
        <w:pStyle w:val="Heading1"/>
      </w:pPr>
      <w:r>
        <w:t>8. Ingestion Pipeline</w:t>
      </w:r>
    </w:p>
    <w:p>
      <w:r>
        <w:t>Acquire → validate → classify → extract → normalise → chunk → enrich → index → quality checks → publish availability.</w:t>
      </w:r>
    </w:p>
    <w:p>
      <w:pPr>
        <w:pStyle w:val="Heading1"/>
      </w:pPr>
      <w:r>
        <w:t>9. Provenance</w:t>
      </w:r>
    </w:p>
    <w:p>
      <w:r>
        <w:t>Every derived object SHALL trace to source and transformation version where feasible.</w:t>
      </w:r>
    </w:p>
    <w:p>
      <w:pPr>
        <w:pStyle w:val="Heading1"/>
      </w:pPr>
      <w:r>
        <w:t>10. Chunking</w:t>
      </w:r>
    </w:p>
    <w:p>
      <w:r>
        <w:t>Chunk strategy is versioned; chunks retain source location.</w:t>
      </w:r>
    </w:p>
    <w:p>
      <w:pPr>
        <w:pStyle w:val="Heading1"/>
      </w:pPr>
      <w:r>
        <w:t>11. Claims</w:t>
      </w:r>
    </w:p>
    <w:p>
      <w:r>
        <w:t>Extracted claims are propositions with evidence references and confidence/status.</w:t>
      </w:r>
    </w:p>
    <w:p>
      <w:pPr>
        <w:pStyle w:val="Heading1"/>
      </w:pPr>
      <w:r>
        <w:t>12. Entities</w:t>
      </w:r>
    </w:p>
    <w:p>
      <w:r>
        <w:t>Canonical entity IDs require cautious resolution; ambiguous matches remain unresolved.</w:t>
      </w:r>
    </w:p>
    <w:p>
      <w:pPr>
        <w:pStyle w:val="Heading1"/>
      </w:pPr>
      <w:r>
        <w:t>13. Relationships</w:t>
      </w:r>
    </w:p>
    <w:p>
      <w:r>
        <w:t>Distinguish asserted, extracted and inferred edges.</w:t>
      </w:r>
    </w:p>
    <w:p>
      <w:pPr>
        <w:pStyle w:val="Heading1"/>
      </w:pPr>
      <w:r>
        <w:t>14. Temporal Knowledge</w:t>
      </w:r>
    </w:p>
    <w:p>
      <w:r>
        <w:t>Represent valid time and transaction/acquisition time where needed.</w:t>
      </w:r>
    </w:p>
    <w:p>
      <w:pPr>
        <w:pStyle w:val="Heading1"/>
      </w:pPr>
      <w:r>
        <w:t>15. Conflict</w:t>
      </w:r>
    </w:p>
    <w:p>
      <w:r>
        <w:t>Store conflicting claims and expose authority/recency context.</w:t>
      </w:r>
    </w:p>
    <w:p>
      <w:pPr>
        <w:pStyle w:val="Heading1"/>
      </w:pPr>
      <w:r>
        <w:t>16. Retraction</w:t>
      </w:r>
    </w:p>
    <w:p>
      <w:r>
        <w:t>Sources and claims can be retracted without erasing audit history.</w:t>
      </w:r>
    </w:p>
    <w:p>
      <w:pPr>
        <w:pStyle w:val="Heading1"/>
      </w:pPr>
      <w:r>
        <w:t>17. Authority</w:t>
      </w:r>
    </w:p>
    <w:p>
      <w:r>
        <w:t>Official, internal, user-supplied, public, inferred and unknown classes are contextual signals, not universal truth scores.</w:t>
      </w:r>
    </w:p>
    <w:p>
      <w:pPr>
        <w:pStyle w:val="Heading1"/>
      </w:pPr>
      <w:r>
        <w:t>18. Freshness</w:t>
      </w:r>
    </w:p>
    <w:p>
      <w:r>
        <w:t>Time-sensitive domains apply review/expiry policies.</w:t>
      </w:r>
    </w:p>
    <w:p>
      <w:pPr>
        <w:pStyle w:val="Heading1"/>
      </w:pPr>
      <w:r>
        <w:t>19. Retrieval</w:t>
      </w:r>
    </w:p>
    <w:p>
      <w:r>
        <w:t>Authorise → formulate query → retrieve → rerank → permission filter → diversify → freshness/conflict processing → context assembly.</w:t>
      </w:r>
    </w:p>
    <w:p>
      <w:pPr>
        <w:pStyle w:val="Heading1"/>
      </w:pPr>
      <w:r>
        <w:t>20. Hybrid Search</w:t>
      </w:r>
    </w:p>
    <w:p>
      <w:r>
        <w:t>Support lexical and vector retrieval behind stable interfaces.</w:t>
      </w:r>
    </w:p>
    <w:p>
      <w:pPr>
        <w:pStyle w:val="Heading1"/>
      </w:pPr>
      <w:r>
        <w:t>21. Reranking</w:t>
      </w:r>
    </w:p>
    <w:p>
      <w:r>
        <w:t>Reranker model/version is recorded and evaluated.</w:t>
      </w:r>
    </w:p>
    <w:p>
      <w:pPr>
        <w:pStyle w:val="Heading1"/>
      </w:pPr>
      <w:r>
        <w:t>22. Grounding</w:t>
      </w:r>
    </w:p>
    <w:p>
      <w:r>
        <w:t>Material factual outputs SHOULD map claims to evidence.</w:t>
      </w:r>
    </w:p>
    <w:p>
      <w:pPr>
        <w:pStyle w:val="Heading1"/>
      </w:pPr>
      <w:r>
        <w:t>23. Citation Integrity</w:t>
      </w:r>
    </w:p>
    <w:p>
      <w:r>
        <w:t>Citations must support the associated claim and identify source location where possible.</w:t>
      </w:r>
    </w:p>
    <w:p>
      <w:pPr>
        <w:pStyle w:val="Heading1"/>
      </w:pPr>
      <w:r>
        <w:t>24. RAG Security</w:t>
      </w:r>
    </w:p>
    <w:p>
      <w:r>
        <w:t>Retrieved content is untrusted data and cannot override system policy.</w:t>
      </w:r>
    </w:p>
    <w:p>
      <w:pPr>
        <w:pStyle w:val="Heading1"/>
      </w:pPr>
      <w:r>
        <w:t>25. Recursive Contamination</w:t>
      </w:r>
    </w:p>
    <w:p>
      <w:r>
        <w:t>AI-generated outputs are marked derived and must not become independent corroborating sources.</w:t>
      </w:r>
    </w:p>
    <w:p>
      <w:pPr>
        <w:pStyle w:val="Heading1"/>
      </w:pPr>
      <w:r>
        <w:t>26. Knowledge Graph</w:t>
      </w:r>
    </w:p>
    <w:p>
      <w:r>
        <w:t>Optional graph representation follows versioned ontology and provenance.</w:t>
      </w:r>
    </w:p>
    <w:p>
      <w:pPr>
        <w:pStyle w:val="Heading1"/>
      </w:pPr>
      <w:r>
        <w:t>27. Ontology</w:t>
      </w:r>
    </w:p>
    <w:p>
      <w:r>
        <w:t>Concept definitions and schema versions are governed artifacts.</w:t>
      </w:r>
    </w:p>
    <w:p>
      <w:pPr>
        <w:pStyle w:val="Heading1"/>
      </w:pPr>
      <w:r>
        <w:t>28. Connected Sources</w:t>
      </w:r>
    </w:p>
    <w:p>
      <w:r>
        <w:t>Preserve original access boundaries and revocation.</w:t>
      </w:r>
    </w:p>
    <w:p>
      <w:pPr>
        <w:pStyle w:val="Heading1"/>
      </w:pPr>
      <w:r>
        <w:t>29. Deletion</w:t>
      </w:r>
    </w:p>
    <w:p>
      <w:r>
        <w:t>Source deletion/revocation reconciles chunks, vectors, claims and caches.</w:t>
      </w:r>
    </w:p>
    <w:p>
      <w:pPr>
        <w:pStyle w:val="Heading1"/>
      </w:pPr>
      <w:r>
        <w:t>30. Quality Metrics</w:t>
      </w:r>
    </w:p>
    <w:p>
      <w:r>
        <w:t>Coverage, freshness, conflict rate, citation support, retrieval recall and grounded-answer success.</w:t>
      </w:r>
    </w:p>
    <w:p>
      <w:pPr>
        <w:pStyle w:val="Heading1"/>
      </w:pPr>
      <w:r>
        <w:t>31. Testing</w:t>
      </w:r>
    </w:p>
    <w:p>
      <w:r>
        <w:t>Golden queries, permission isolation, injection, stale sources, conflicting claims, citation mismatch and deletion.</w:t>
      </w:r>
    </w:p>
    <w:p>
      <w:pPr>
        <w:pStyle w:val="Heading1"/>
      </w:pPr>
      <w:r>
        <w:t>32. Acceptance Criteria</w:t>
      </w:r>
    </w:p>
    <w:p>
      <w:r>
        <w:t>Reference implementation ingests a document, preserves provenance, retrieves evidence, cites it and removes derived artifacts on deletion.</w:t>
      </w:r>
    </w:p>
    <w:p>
      <w:pPr>
        <w:pStyle w:val="Heading1"/>
      </w:pPr>
      <w:r>
        <w:t>33. Open Questions</w:t>
      </w:r>
    </w:p>
    <w:p>
      <w:r>
        <w:t>Phase 1 parser stack; vector store; ontology scope; source authority taxonomy.</w:t>
      </w:r>
    </w:p>
    <w:p>
      <w:pPr>
        <w:pStyle w:val="Heading1"/>
      </w:pPr>
      <w:r>
        <w:t>Conformance Requirements</w:t>
      </w:r>
    </w:p>
    <w:p>
      <w:r>
        <w:t>□ Target RFC version identified</w:t>
      </w:r>
    </w:p>
    <w:p>
      <w:r>
        <w:t>□ Mandatory interfaces/invariants tested</w:t>
      </w:r>
    </w:p>
    <w:p>
      <w:r>
        <w:t>□ Identity and capability boundaries enforced outside prompts</w:t>
      </w:r>
    </w:p>
    <w:p>
      <w:r>
        <w:t>□ Negative/failure paths tested</w:t>
      </w:r>
    </w:p>
    <w:p>
      <w:r>
        <w:t>□ Observability evidence available</w:t>
      </w:r>
    </w:p>
    <w:p>
      <w:r>
        <w:t>□ Data lifecycle requirements implemented</w:t>
      </w:r>
    </w:p>
    <w:p>
      <w:r>
        <w:t>□ Deviations recorded through ADR/RFC governance</w:t>
      </w:r>
    </w:p>
    <w:p>
      <w:r>
        <w:t>□ No unsupported implementation claims</w:t>
      </w:r>
    </w:p>
    <w:p>
      <w:pPr>
        <w:pStyle w:val="Heading1"/>
      </w:pPr>
      <w:r>
        <w:t>Implementation Plan</w:t>
      </w:r>
    </w:p>
    <w:p>
      <w:r>
        <w:t>Phase A – Define schemas and interfaces.</w:t>
      </w:r>
    </w:p>
    <w:p>
      <w:r>
        <w:t>Phase B – Build smallest local reference implementation.</w:t>
      </w:r>
    </w:p>
    <w:p>
      <w:r>
        <w:t>Phase C – Add conformance and negative tests.</w:t>
      </w:r>
    </w:p>
    <w:p>
      <w:r>
        <w:t>Phase D – Integrate predecessor RFC contracts.</w:t>
      </w:r>
    </w:p>
    <w:p>
      <w:r>
        <w:t>Phase E – Record technology choices as ADRs.</w:t>
      </w:r>
    </w:p>
    <w:p>
      <w:r>
        <w:t>Phase F – Review evidence before status change.</w:t>
      </w:r>
    </w:p>
    <w:p>
      <w:pPr>
        <w:pStyle w:val="Heading1"/>
      </w:pPr>
      <w:r>
        <w:t>Change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Version</w:t>
            </w:r>
          </w:p>
        </w:tc>
        <w:tc>
          <w:tcPr>
            <w:tcW w:type="dxa" w:w="2484"/>
          </w:tcPr>
          <w:p>
            <w:r>
              <w:t>Date</w:t>
            </w:r>
          </w:p>
        </w:tc>
        <w:tc>
          <w:tcPr>
            <w:tcW w:type="dxa" w:w="2484"/>
          </w:tcPr>
          <w:p>
            <w:r>
              <w:t>Author</w:t>
            </w:r>
          </w:p>
        </w:tc>
        <w:tc>
          <w:tcPr>
            <w:tcW w:type="dxa" w:w="2484"/>
          </w:tcPr>
          <w:p>
            <w:r>
              <w:t>Change</w:t>
            </w:r>
          </w:p>
        </w:tc>
      </w:tr>
      <w:tr>
        <w:tc>
          <w:tcPr>
            <w:tcW w:type="dxa" w:w="2484"/>
          </w:tcPr>
          <w:p>
            <w:r>
              <w:t>0.1.0</w:t>
            </w:r>
          </w:p>
        </w:tc>
        <w:tc>
          <w:tcPr>
            <w:tcW w:type="dxa" w:w="2484"/>
          </w:tcPr>
          <w:p>
            <w:r>
              <w:t>2026-07-09</w:t>
            </w:r>
          </w:p>
        </w:tc>
        <w:tc>
          <w:tcPr>
            <w:tcW w:type="dxa" w:w="2484"/>
          </w:tcPr>
          <w:p>
            <w:r>
              <w:t>Denver Jacobs</w:t>
            </w:r>
          </w:p>
        </w:tc>
        <w:tc>
          <w:tcPr>
            <w:tcW w:type="dxa" w:w="2484"/>
          </w:tcPr>
          <w:p>
            <w:r>
              <w:t>Initial draft</w:t>
            </w:r>
          </w:p>
        </w:tc>
      </w:tr>
    </w:tbl>
    <w:p>
      <w:pPr>
        <w:pStyle w:val="Heading1"/>
      </w:pPr>
      <w:r>
        <w:t>Architecture Decisions Required</w:t>
      </w:r>
    </w:p>
    <w:p>
      <w:r>
        <w:t>Technology-specific decisions discovered during implementation SHALL be captured as ADRs rather than silently embedded into code.</w:t>
      </w:r>
    </w:p>
    <w:p>
      <w:pPr>
        <w:pStyle w:val="Heading1"/>
      </w:pPr>
      <w:r>
        <w:t>References</w:t>
      </w:r>
    </w:p>
    <w:p>
      <w:r>
        <w:t>SynapseOS Governance Library; SynapseOS Standards Library STD-001 through STD-030; RFC-0001 through applicable predecessor RFCs.</w:t>
      </w:r>
    </w:p>
    <w:p>
      <w:pPr>
        <w:pStyle w:val="Heading1"/>
      </w:pPr>
      <w:r>
        <w:t>Approval</w:t>
      </w:r>
    </w:p>
    <w:p>
      <w:r>
        <w:t>Author: Denver Jacobs ____________________  Date: __________</w:t>
        <w:br/>
        <w:br/>
        <w:t>Architecture Review: ____________________  Date: __________</w:t>
        <w:br/>
        <w:br/>
        <w:t>Security Review: ________________________  Date: __________</w:t>
        <w:br/>
        <w:br/>
        <w:t>Approved By: ___________________________  Date: __________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