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RFC-0013 – Agent Runtime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RFC-0013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Agent Runtime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RFC-0001 and applicable predecessor RFCs; GOV and STD libraries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RFC-0013 for Agent Runtime, subject to architecture review, dependency validation and accepted amendments.</w:t>
      </w:r>
    </w:p>
    <w:p>
      <w:pPr>
        <w:pStyle w:val="Heading1"/>
      </w:pPr>
      <w:r>
        <w:t>1. Abstract</w:t>
      </w:r>
    </w:p>
    <w:p>
      <w:r>
        <w:t>Defines the bounded runtime for autonomous and semi-autonomous SynapseOS agents.</w:t>
      </w:r>
    </w:p>
    <w:p>
      <w:pPr>
        <w:pStyle w:val="Heading1"/>
      </w:pPr>
      <w:r>
        <w:t>2. Agent Definition</w:t>
      </w:r>
    </w:p>
    <w:p>
      <w:r>
        <w:t>An agent is an identified runtime actor that pursues a task using models, memory and tools under explicit capability and budget constraints.</w:t>
      </w:r>
    </w:p>
    <w:p>
      <w:pPr>
        <w:pStyle w:val="Heading1"/>
      </w:pPr>
      <w:r>
        <w:t>3. Agent Descriptor</w:t>
      </w:r>
    </w:p>
    <w:p>
      <w:r>
        <w:t>agent_id, role, owner/sponsor, runtime version, model policy, allowed capabilities, memory policy, budgets and lifecycle.</w:t>
      </w:r>
    </w:p>
    <w:p>
      <w:pPr>
        <w:pStyle w:val="Heading1"/>
      </w:pPr>
      <w:r>
        <w:t>4. Lifecycle</w:t>
      </w:r>
    </w:p>
    <w:p>
      <w:r>
        <w:t>Proposed, Active, Suspended, Revoked, Retired and Compromised.</w:t>
      </w:r>
    </w:p>
    <w:p>
      <w:pPr>
        <w:pStyle w:val="Heading1"/>
      </w:pPr>
      <w:r>
        <w:t>5. Run Model</w:t>
      </w:r>
    </w:p>
    <w:p>
      <w:r>
        <w:t>Each invocation creates a Run under RFC-0003 with immutable initial task and execution context.</w:t>
      </w:r>
    </w:p>
    <w:p>
      <w:pPr>
        <w:pStyle w:val="Heading1"/>
      </w:pPr>
      <w:r>
        <w:t>6. Agent Loop</w:t>
      </w:r>
    </w:p>
    <w:p>
      <w:r>
        <w:t>Observe → interpret → propose next action → policy/constraint check → execute or wait → observe result → update run state → termination check.</w:t>
      </w:r>
    </w:p>
    <w:p>
      <w:pPr>
        <w:pStyle w:val="Heading1"/>
      </w:pPr>
      <w:r>
        <w:t>7. No Direct Authority</w:t>
      </w:r>
    </w:p>
    <w:p>
      <w:r>
        <w:t>Model output cannot bypass RFC-0007/0008.</w:t>
      </w:r>
    </w:p>
    <w:p>
      <w:pPr>
        <w:pStyle w:val="Heading1"/>
      </w:pPr>
      <w:r>
        <w:t>8. Termination</w:t>
      </w:r>
    </w:p>
    <w:p>
      <w:r>
        <w:t>Success, failure, cancellation, timeout, budget exhaustion, no-progress, policy stop or human stop.</w:t>
      </w:r>
    </w:p>
    <w:p>
      <w:pPr>
        <w:pStyle w:val="Heading1"/>
      </w:pPr>
      <w:r>
        <w:t>9. Budgets</w:t>
      </w:r>
    </w:p>
    <w:p>
      <w:r>
        <w:t>Steps, tokens, tool calls, retries, wall time, delegation depth and spend.</w:t>
      </w:r>
    </w:p>
    <w:p>
      <w:pPr>
        <w:pStyle w:val="Heading1"/>
      </w:pPr>
      <w:r>
        <w:t>10. No-Progress Detection</w:t>
      </w:r>
    </w:p>
    <w:p>
      <w:r>
        <w:t>Detect repeated equivalent states/actions and terminate or escalate.</w:t>
      </w:r>
    </w:p>
    <w:p>
      <w:pPr>
        <w:pStyle w:val="Heading1"/>
      </w:pPr>
      <w:r>
        <w:t>11. Tool Use</w:t>
      </w:r>
    </w:p>
    <w:p>
      <w:r>
        <w:t>All consequential tools route through RFC-0008.</w:t>
      </w:r>
    </w:p>
    <w:p>
      <w:pPr>
        <w:pStyle w:val="Heading1"/>
      </w:pPr>
      <w:r>
        <w:t>12. Memory</w:t>
      </w:r>
    </w:p>
    <w:p>
      <w:r>
        <w:t>Reads/writes follow RFC-0011 and agent memory policy.</w:t>
      </w:r>
    </w:p>
    <w:p>
      <w:pPr>
        <w:pStyle w:val="Heading1"/>
      </w:pPr>
      <w:r>
        <w:t>13. Knowledge</w:t>
      </w:r>
    </w:p>
    <w:p>
      <w:r>
        <w:t>Evidence retrieval follows RFC-0012.</w:t>
      </w:r>
    </w:p>
    <w:p>
      <w:pPr>
        <w:pStyle w:val="Heading1"/>
      </w:pPr>
      <w:r>
        <w:t>14. Models</w:t>
      </w:r>
    </w:p>
    <w:p>
      <w:r>
        <w:t>Model access follows RFC-0014 and model policy.</w:t>
      </w:r>
    </w:p>
    <w:p>
      <w:pPr>
        <w:pStyle w:val="Heading1"/>
      </w:pPr>
      <w:r>
        <w:t>15. Planning</w:t>
      </w:r>
    </w:p>
    <w:p>
      <w:r>
        <w:t>Optional planning uses RFC-0016; plans do not grant authority.</w:t>
      </w:r>
    </w:p>
    <w:p>
      <w:pPr>
        <w:pStyle w:val="Heading1"/>
      </w:pPr>
      <w:r>
        <w:t>16. Reflection</w:t>
      </w:r>
    </w:p>
    <w:p>
      <w:r>
        <w:t>Optional reflection follows RFC-0018 and cannot self-modify policy.</w:t>
      </w:r>
    </w:p>
    <w:p>
      <w:pPr>
        <w:pStyle w:val="Heading1"/>
      </w:pPr>
      <w:r>
        <w:t>17. Delegation</w:t>
      </w:r>
    </w:p>
    <w:p>
      <w:r>
        <w:t>Sub-agents receive subset capabilities, child budgets and bounded depth.</w:t>
      </w:r>
    </w:p>
    <w:p>
      <w:pPr>
        <w:pStyle w:val="Heading1"/>
      </w:pPr>
      <w:r>
        <w:t>18. Sub-Agent Identity</w:t>
      </w:r>
    </w:p>
    <w:p>
      <w:r>
        <w:t>Every child has traceable identity and parent delegation.</w:t>
      </w:r>
    </w:p>
    <w:p>
      <w:pPr>
        <w:pStyle w:val="Heading1"/>
      </w:pPr>
      <w:r>
        <w:t>19. Human Oversight</w:t>
      </w:r>
    </w:p>
    <w:p>
      <w:r>
        <w:t>Approval-required actions enter Waiting state with bound action parameters.</w:t>
      </w:r>
    </w:p>
    <w:p>
      <w:pPr>
        <w:pStyle w:val="Heading1"/>
      </w:pPr>
      <w:r>
        <w:t>20. External Events</w:t>
      </w:r>
    </w:p>
    <w:p>
      <w:r>
        <w:t>Agent may wait for authorised events and revalidate context on wake.</w:t>
      </w:r>
    </w:p>
    <w:p>
      <w:pPr>
        <w:pStyle w:val="Heading1"/>
      </w:pPr>
      <w:r>
        <w:t>21. Checkpoint</w:t>
      </w:r>
    </w:p>
    <w:p>
      <w:r>
        <w:t>Persist bounded run state for recovery without unnecessary hidden chain-of-thought.</w:t>
      </w:r>
    </w:p>
    <w:p>
      <w:pPr>
        <w:pStyle w:val="Heading1"/>
      </w:pPr>
      <w:r>
        <w:t>22. Reasoning Privacy</w:t>
      </w:r>
    </w:p>
    <w:p>
      <w:r>
        <w:t>Do not require storage or exposure of private chain-of-thought; store concise decision rationale/evidence as appropriate.</w:t>
      </w:r>
    </w:p>
    <w:p>
      <w:pPr>
        <w:pStyle w:val="Heading1"/>
      </w:pPr>
      <w:r>
        <w:t>23. Prompt Construction</w:t>
      </w:r>
    </w:p>
    <w:p>
      <w:r>
        <w:t>System policy, task, authorised context, memory and retrieved data remain separated and labelled.</w:t>
      </w:r>
    </w:p>
    <w:p>
      <w:pPr>
        <w:pStyle w:val="Heading1"/>
      </w:pPr>
      <w:r>
        <w:t>24. Injection Defence</w:t>
      </w:r>
    </w:p>
    <w:p>
      <w:r>
        <w:t>Untrusted content cannot become privileged instructions.</w:t>
      </w:r>
    </w:p>
    <w:p>
      <w:pPr>
        <w:pStyle w:val="Heading1"/>
      </w:pPr>
      <w:r>
        <w:t>25. Model Failure</w:t>
      </w:r>
    </w:p>
    <w:p>
      <w:r>
        <w:t>Retry/fallback is bounded and approved for data/use case.</w:t>
      </w:r>
    </w:p>
    <w:p>
      <w:pPr>
        <w:pStyle w:val="Heading1"/>
      </w:pPr>
      <w:r>
        <w:t>26. Tool Failure</w:t>
      </w:r>
    </w:p>
    <w:p>
      <w:r>
        <w:t>Represent uncertain outcomes and avoid blind retry.</w:t>
      </w:r>
    </w:p>
    <w:p>
      <w:pPr>
        <w:pStyle w:val="Heading1"/>
      </w:pPr>
      <w:r>
        <w:t>27. Observability</w:t>
      </w:r>
    </w:p>
    <w:p>
      <w:r>
        <w:t>Run/task/step traces, model usage, tool actions, budgets, waits and termination reason.</w:t>
      </w:r>
    </w:p>
    <w:p>
      <w:pPr>
        <w:pStyle w:val="Heading1"/>
      </w:pPr>
      <w:r>
        <w:t>28. Audit</w:t>
      </w:r>
    </w:p>
    <w:p>
      <w:r>
        <w:t>Consequential actions preserve principal, delegation, capability and approval references.</w:t>
      </w:r>
    </w:p>
    <w:p>
      <w:pPr>
        <w:pStyle w:val="Heading1"/>
      </w:pPr>
      <w:r>
        <w:t>29. Testing</w:t>
      </w:r>
    </w:p>
    <w:p>
      <w:r>
        <w:t>Looping, injection, budget exhaustion, revoked capability, child escalation, cancellation and uncertain tool outcome.</w:t>
      </w:r>
    </w:p>
    <w:p>
      <w:pPr>
        <w:pStyle w:val="Heading1"/>
      </w:pPr>
      <w:r>
        <w:t>30. Acceptance Criteria</w:t>
      </w:r>
    </w:p>
    <w:p>
      <w:r>
        <w:t>Reference agent completes a bounded read/reason/approved-write workflow and stops on budget or revocation.</w:t>
      </w:r>
    </w:p>
    <w:p>
      <w:pPr>
        <w:pStyle w:val="Heading1"/>
      </w:pPr>
      <w:r>
        <w:t>31. Open Questions</w:t>
      </w:r>
    </w:p>
    <w:p>
      <w:r>
        <w:t>Initial agent state representation; loop framework; child-agent scheduling.</w:t>
      </w:r>
    </w:p>
    <w:p>
      <w:pPr>
        <w:pStyle w:val="Heading1"/>
      </w:pPr>
      <w:r>
        <w:t>Conformance Requirements</w:t>
      </w:r>
    </w:p>
    <w:p>
      <w:r>
        <w:t>□ Target RFC version identified</w:t>
      </w:r>
    </w:p>
    <w:p>
      <w:r>
        <w:t>□ Mandatory interfaces/invariants tested</w:t>
      </w:r>
    </w:p>
    <w:p>
      <w:r>
        <w:t>□ Identity and capability boundaries enforced outside prompts</w:t>
      </w:r>
    </w:p>
    <w:p>
      <w:r>
        <w:t>□ Negative/failure paths tested</w:t>
      </w:r>
    </w:p>
    <w:p>
      <w:r>
        <w:t>□ Observability evidence available</w:t>
      </w:r>
    </w:p>
    <w:p>
      <w:r>
        <w:t>□ Data lifecycle requirements implemented</w:t>
      </w:r>
    </w:p>
    <w:p>
      <w:r>
        <w:t>□ Deviations recorded through ADR/RFC governance</w:t>
      </w:r>
    </w:p>
    <w:p>
      <w:r>
        <w:t>□ No unsupported implementation claims</w:t>
      </w:r>
    </w:p>
    <w:p>
      <w:pPr>
        <w:pStyle w:val="Heading1"/>
      </w:pPr>
      <w:r>
        <w:t>Implementation Plan</w:t>
      </w:r>
    </w:p>
    <w:p>
      <w:r>
        <w:t>Phase A – Define schemas and interfaces.</w:t>
      </w:r>
    </w:p>
    <w:p>
      <w:r>
        <w:t>Phase B – Build smallest local reference implementation.</w:t>
      </w:r>
    </w:p>
    <w:p>
      <w:r>
        <w:t>Phase C – Add conformance and negative tests.</w:t>
      </w:r>
    </w:p>
    <w:p>
      <w:r>
        <w:t>Phase D – Integrate predecessor RFC contracts.</w:t>
      </w:r>
    </w:p>
    <w:p>
      <w:r>
        <w:t>Phase E – Record technology choices as ADRs.</w:t>
      </w:r>
    </w:p>
    <w:p>
      <w:r>
        <w:t>Phase F – Review evidence before status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Library; SynapseOS Standards Library STD-001 through STD-030; RFC-0001 through applicable predecessor RFCs.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