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RFC-0014 – Model Abstraction Layer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RFC-0014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Model Abstraction Layer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RFC-0001 and applicable predecessor RFCs; GOV and STD libraries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RFC-0014 for Model Abstraction Layer, subject to architecture review, dependency validation and accepted amendments.</w:t>
      </w:r>
    </w:p>
    <w:p>
      <w:pPr>
        <w:pStyle w:val="Heading1"/>
      </w:pPr>
      <w:r>
        <w:t>1. Abstract</w:t>
      </w:r>
    </w:p>
    <w:p>
      <w:r>
        <w:t>Defines provider-neutral access to language, reasoning, embedding, reranking and multimodal models.</w:t>
      </w:r>
    </w:p>
    <w:p>
      <w:pPr>
        <w:pStyle w:val="Heading1"/>
      </w:pPr>
      <w:r>
        <w:t>2. Goals</w:t>
      </w:r>
    </w:p>
    <w:p>
      <w:r>
        <w:t>Prevent provider lock-in, preserve exact model identity, standardise invocation evidence and support policy-aware routing.</w:t>
      </w:r>
    </w:p>
    <w:p>
      <w:pPr>
        <w:pStyle w:val="Heading1"/>
      </w:pPr>
      <w:r>
        <w:t>3. Non-Goals</w:t>
      </w:r>
    </w:p>
    <w:p>
      <w:r>
        <w:t>The abstraction does not pretend all models have identical capabilities.</w:t>
      </w:r>
    </w:p>
    <w:p>
      <w:pPr>
        <w:pStyle w:val="Heading1"/>
      </w:pPr>
      <w:r>
        <w:t>4. Model Descriptor</w:t>
      </w:r>
    </w:p>
    <w:p>
      <w:r>
        <w:t>provider, exact_model_id, version/alias status, modalities, context/output limits, capabilities, hosting, data policy and lifecycle.</w:t>
      </w:r>
    </w:p>
    <w:p>
      <w:pPr>
        <w:pStyle w:val="Heading1"/>
      </w:pPr>
      <w:r>
        <w:t>5. Provider Adapter</w:t>
      </w:r>
    </w:p>
    <w:p>
      <w:r>
        <w:t>Implements discovery, invocation, streaming, errors, usage and health for a provider.</w:t>
      </w:r>
    </w:p>
    <w:p>
      <w:pPr>
        <w:pStyle w:val="Heading1"/>
      </w:pPr>
      <w:r>
        <w:t>6. Request Envelope</w:t>
      </w:r>
    </w:p>
    <w:p>
      <w:r>
        <w:t>request_id, model policy, messages/input, parameters, response schema, deadline, budget, data classification and trace context.</w:t>
      </w:r>
    </w:p>
    <w:p>
      <w:pPr>
        <w:pStyle w:val="Heading1"/>
      </w:pPr>
      <w:r>
        <w:t>7. Response Envelope</w:t>
      </w:r>
    </w:p>
    <w:p>
      <w:r>
        <w:t>exact model identity, output, finish reason, usage, latency, provider request reference and typed warnings.</w:t>
      </w:r>
    </w:p>
    <w:p>
      <w:pPr>
        <w:pStyle w:val="Heading1"/>
      </w:pPr>
      <w:r>
        <w:t>8. Capability Discovery</w:t>
      </w:r>
    </w:p>
    <w:p>
      <w:r>
        <w:t>Callers request required capabilities rather than assuming provider-specific features.</w:t>
      </w:r>
    </w:p>
    <w:p>
      <w:pPr>
        <w:pStyle w:val="Heading1"/>
      </w:pPr>
      <w:r>
        <w:t>9. Model Policy</w:t>
      </w:r>
    </w:p>
    <w:p>
      <w:r>
        <w:t>Defines approved model set by use case, data class, environment, cost and fallback.</w:t>
      </w:r>
    </w:p>
    <w:p>
      <w:pPr>
        <w:pStyle w:val="Heading1"/>
      </w:pPr>
      <w:r>
        <w:t>10. Routing</w:t>
      </w:r>
    </w:p>
    <w:p>
      <w:r>
        <w:t>Select only models approved for current use case and data.</w:t>
      </w:r>
    </w:p>
    <w:p>
      <w:pPr>
        <w:pStyle w:val="Heading1"/>
      </w:pPr>
      <w:r>
        <w:t>11. Fallback</w:t>
      </w:r>
    </w:p>
    <w:p>
      <w:r>
        <w:t>Fallback is explicit, evaluated and privacy-compatible.</w:t>
      </w:r>
    </w:p>
    <w:p>
      <w:pPr>
        <w:pStyle w:val="Heading1"/>
      </w:pPr>
      <w:r>
        <w:t>12. Hosted Models</w:t>
      </w:r>
    </w:p>
    <w:p>
      <w:r>
        <w:t>Adapters enforce provider settings and record external data transmission.</w:t>
      </w:r>
    </w:p>
    <w:p>
      <w:pPr>
        <w:pStyle w:val="Heading1"/>
      </w:pPr>
      <w:r>
        <w:t>13. Local Models</w:t>
      </w:r>
    </w:p>
    <w:p>
      <w:r>
        <w:t>Adapters record runtime, artifact identity, quantisation and hardware context.</w:t>
      </w:r>
    </w:p>
    <w:p>
      <w:pPr>
        <w:pStyle w:val="Heading1"/>
      </w:pPr>
      <w:r>
        <w:t>14. Structured Output</w:t>
      </w:r>
    </w:p>
    <w:p>
      <w:r>
        <w:t>Expose schema-constrained output where supported and validate regardless of provider claim.</w:t>
      </w:r>
    </w:p>
    <w:p>
      <w:pPr>
        <w:pStyle w:val="Heading1"/>
      </w:pPr>
      <w:r>
        <w:t>15. Tool Calling</w:t>
      </w:r>
    </w:p>
    <w:p>
      <w:r>
        <w:t>Normalise proposals only; actual tool execution remains RFC-0008.</w:t>
      </w:r>
    </w:p>
    <w:p>
      <w:pPr>
        <w:pStyle w:val="Heading1"/>
      </w:pPr>
      <w:r>
        <w:t>16. Streaming</w:t>
      </w:r>
    </w:p>
    <w:p>
      <w:r>
        <w:t>Use a standard stream event model and preserve cancellation.</w:t>
      </w:r>
    </w:p>
    <w:p>
      <w:pPr>
        <w:pStyle w:val="Heading1"/>
      </w:pPr>
      <w:r>
        <w:t>17. Embeddings</w:t>
      </w:r>
    </w:p>
    <w:p>
      <w:r>
        <w:t>Record model/version, dimensions and preprocessing.</w:t>
      </w:r>
    </w:p>
    <w:p>
      <w:pPr>
        <w:pStyle w:val="Heading1"/>
      </w:pPr>
      <w:r>
        <w:t>18. Reranking</w:t>
      </w:r>
    </w:p>
    <w:p>
      <w:r>
        <w:t>Expose scored ordering with exact model identity.</w:t>
      </w:r>
    </w:p>
    <w:p>
      <w:pPr>
        <w:pStyle w:val="Heading1"/>
      </w:pPr>
      <w:r>
        <w:t>19. Multimodal</w:t>
      </w:r>
    </w:p>
    <w:p>
      <w:r>
        <w:t>Declare supported input types and size constraints.</w:t>
      </w:r>
    </w:p>
    <w:p>
      <w:pPr>
        <w:pStyle w:val="Heading1"/>
      </w:pPr>
      <w:r>
        <w:t>20. Errors</w:t>
      </w:r>
    </w:p>
    <w:p>
      <w:r>
        <w:t>Normalise authentication, rate limit, timeout, invalid request, safety refusal, provider unavailable and unknown.</w:t>
      </w:r>
    </w:p>
    <w:p>
      <w:pPr>
        <w:pStyle w:val="Heading1"/>
      </w:pPr>
      <w:r>
        <w:t>21. Retries</w:t>
      </w:r>
    </w:p>
    <w:p>
      <w:r>
        <w:t>Adapter-level retries are bounded and avoid duplicate external side effects.</w:t>
      </w:r>
    </w:p>
    <w:p>
      <w:pPr>
        <w:pStyle w:val="Heading1"/>
      </w:pPr>
      <w:r>
        <w:t>22. Rate Limits</w:t>
      </w:r>
    </w:p>
    <w:p>
      <w:r>
        <w:t>Track provider quotas and local capacity.</w:t>
      </w:r>
    </w:p>
    <w:p>
      <w:pPr>
        <w:pStyle w:val="Heading1"/>
      </w:pPr>
      <w:r>
        <w:t>23. Cost</w:t>
      </w:r>
    </w:p>
    <w:p>
      <w:r>
        <w:t>Return measured/estimated usage and cost metadata where available.</w:t>
      </w:r>
    </w:p>
    <w:p>
      <w:pPr>
        <w:pStyle w:val="Heading1"/>
      </w:pPr>
      <w:r>
        <w:t>24. Caching</w:t>
      </w:r>
    </w:p>
    <w:p>
      <w:r>
        <w:t>Only for eligible requests with privacy and freshness rules.</w:t>
      </w:r>
    </w:p>
    <w:p>
      <w:pPr>
        <w:pStyle w:val="Heading1"/>
      </w:pPr>
      <w:r>
        <w:t>25. Observability</w:t>
      </w:r>
    </w:p>
    <w:p>
      <w:r>
        <w:t>Record model identity, latency, usage, error, route and fallback without unnecessary sensitive prompt logging.</w:t>
      </w:r>
    </w:p>
    <w:p>
      <w:pPr>
        <w:pStyle w:val="Heading1"/>
      </w:pPr>
      <w:r>
        <w:t>26. Evaluation Binding</w:t>
      </w:r>
    </w:p>
    <w:p>
      <w:r>
        <w:t>Production descriptors link to STD-019 evaluation/approval evidence.</w:t>
      </w:r>
    </w:p>
    <w:p>
      <w:pPr>
        <w:pStyle w:val="Heading1"/>
      </w:pPr>
      <w:r>
        <w:t>27. Version Drift</w:t>
      </w:r>
    </w:p>
    <w:p>
      <w:r>
        <w:t>Aliases are monitored; exact observed model identity recorded where provider exposes it.</w:t>
      </w:r>
    </w:p>
    <w:p>
      <w:pPr>
        <w:pStyle w:val="Heading1"/>
      </w:pPr>
      <w:r>
        <w:t>28. Security</w:t>
      </w:r>
    </w:p>
    <w:p>
      <w:r>
        <w:t>Provider output is untrusted; models cannot grant authority.</w:t>
      </w:r>
    </w:p>
    <w:p>
      <w:pPr>
        <w:pStyle w:val="Heading1"/>
      </w:pPr>
      <w:r>
        <w:t>29. Testing</w:t>
      </w:r>
    </w:p>
    <w:p>
      <w:r>
        <w:t>Adapter conformance, timeout, streaming cancellation, schema invalidity, fallback and data-policy routing.</w:t>
      </w:r>
    </w:p>
    <w:p>
      <w:pPr>
        <w:pStyle w:val="Heading1"/>
      </w:pPr>
      <w:r>
        <w:t>30. Acceptance Criteria</w:t>
      </w:r>
    </w:p>
    <w:p>
      <w:r>
        <w:t>Two interchangeable adapters complete a common request contract while preserving model-specific capability differences.</w:t>
      </w:r>
    </w:p>
    <w:p>
      <w:pPr>
        <w:pStyle w:val="Heading1"/>
      </w:pPr>
      <w:r>
        <w:t>31. Open Questions</w:t>
      </w:r>
    </w:p>
    <w:p>
      <w:r>
        <w:t>Initial providers; local inference runtime; canonical message schema; routing policy language.</w:t>
      </w:r>
    </w:p>
    <w:p>
      <w:pPr>
        <w:pStyle w:val="Heading1"/>
      </w:pPr>
      <w:r>
        <w:t>Conformance Requirements</w:t>
      </w:r>
    </w:p>
    <w:p>
      <w:r>
        <w:t>□ Target RFC version identified</w:t>
      </w:r>
    </w:p>
    <w:p>
      <w:r>
        <w:t>□ Mandatory interfaces/invariants tested</w:t>
      </w:r>
    </w:p>
    <w:p>
      <w:r>
        <w:t>□ Identity and capability boundaries enforced outside prompts</w:t>
      </w:r>
    </w:p>
    <w:p>
      <w:r>
        <w:t>□ Negative/failure paths tested</w:t>
      </w:r>
    </w:p>
    <w:p>
      <w:r>
        <w:t>□ Observability evidence available</w:t>
      </w:r>
    </w:p>
    <w:p>
      <w:r>
        <w:t>□ Data lifecycle requirements implemented</w:t>
      </w:r>
    </w:p>
    <w:p>
      <w:r>
        <w:t>□ Deviations recorded through ADR/RFC governance</w:t>
      </w:r>
    </w:p>
    <w:p>
      <w:r>
        <w:t>□ No unsupported implementation claims</w:t>
      </w:r>
    </w:p>
    <w:p>
      <w:pPr>
        <w:pStyle w:val="Heading1"/>
      </w:pPr>
      <w:r>
        <w:t>Implementation Plan</w:t>
      </w:r>
    </w:p>
    <w:p>
      <w:r>
        <w:t>Phase A – Define schemas and interfaces.</w:t>
      </w:r>
    </w:p>
    <w:p>
      <w:r>
        <w:t>Phase B – Build smallest local reference implementation.</w:t>
      </w:r>
    </w:p>
    <w:p>
      <w:r>
        <w:t>Phase C – Add conformance and negative tests.</w:t>
      </w:r>
    </w:p>
    <w:p>
      <w:r>
        <w:t>Phase D – Integrate predecessor RFC contracts.</w:t>
      </w:r>
    </w:p>
    <w:p>
      <w:r>
        <w:t>Phase E – Record technology choices as ADRs.</w:t>
      </w:r>
    </w:p>
    <w:p>
      <w:r>
        <w:t>Phase F – Review evidence before status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Library; SynapseOS Standards Library STD-001 through STD-030; RFC-0001 through applicable predecessor RFCs.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