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SynapseOS RFC Library</w:t>
      </w:r>
    </w:p>
    <w:p>
      <w:pPr>
        <w:jc w:val="center"/>
      </w:pPr>
      <w:r>
        <w:rPr>
          <w:b/>
        </w:rPr>
        <w:t>Volume III – Implementation Contracts</w:t>
        <w:br/>
      </w:r>
      <w:r>
        <w:t>RFC-0015 – Reasoning Runtime</w:t>
        <w:br/>
        <w:t>Version 0.1.0 (Draft)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Field</w:t>
            </w:r>
          </w:p>
        </w:tc>
        <w:tc>
          <w:tcPr>
            <w:tcW w:type="dxa" w:w="4968"/>
          </w:tcPr>
          <w:p>
            <w:r>
              <w:t>Value</w:t>
            </w:r>
          </w:p>
        </w:tc>
      </w:tr>
      <w:tr>
        <w:tc>
          <w:tcPr>
            <w:tcW w:type="dxa" w:w="4968"/>
          </w:tcPr>
          <w:p>
            <w:r>
              <w:t>Document ID</w:t>
            </w:r>
          </w:p>
        </w:tc>
        <w:tc>
          <w:tcPr>
            <w:tcW w:type="dxa" w:w="4968"/>
          </w:tcPr>
          <w:p>
            <w:r>
              <w:t>RFC-0015</w:t>
            </w:r>
          </w:p>
        </w:tc>
      </w:tr>
      <w:tr>
        <w:tc>
          <w:tcPr>
            <w:tcW w:type="dxa" w:w="4968"/>
          </w:tcPr>
          <w:p>
            <w:r>
              <w:t>Title</w:t>
            </w:r>
          </w:p>
        </w:tc>
        <w:tc>
          <w:tcPr>
            <w:tcW w:type="dxa" w:w="4968"/>
          </w:tcPr>
          <w:p>
            <w:r>
              <w:t>Reasoning Runtime</w:t>
            </w:r>
          </w:p>
        </w:tc>
      </w:tr>
      <w:tr>
        <w:tc>
          <w:tcPr>
            <w:tcW w:type="dxa" w:w="4968"/>
          </w:tcPr>
          <w:p>
            <w:r>
              <w:t>Version</w:t>
            </w:r>
          </w:p>
        </w:tc>
        <w:tc>
          <w:tcPr>
            <w:tcW w:type="dxa" w:w="4968"/>
          </w:tcPr>
          <w:p>
            <w:r>
              <w:t>0.1.0</w:t>
            </w:r>
          </w:p>
        </w:tc>
      </w:tr>
      <w:tr>
        <w:tc>
          <w:tcPr>
            <w:tcW w:type="dxa" w:w="4968"/>
          </w:tcPr>
          <w:p>
            <w:r>
              <w:t>Status</w:t>
            </w:r>
          </w:p>
        </w:tc>
        <w:tc>
          <w:tcPr>
            <w:tcW w:type="dxa" w:w="4968"/>
          </w:tcPr>
          <w:p>
            <w:r>
              <w:t>Draft</w:t>
            </w:r>
          </w:p>
        </w:tc>
      </w:tr>
      <w:tr>
        <w:tc>
          <w:tcPr>
            <w:tcW w:type="dxa" w:w="4968"/>
          </w:tcPr>
          <w:p>
            <w:r>
              <w:t>Author</w:t>
            </w:r>
          </w:p>
        </w:tc>
        <w:tc>
          <w:tcPr>
            <w:tcW w:type="dxa" w:w="4968"/>
          </w:tcPr>
          <w:p>
            <w:r>
              <w:t>Denver Jacobs</w:t>
            </w:r>
          </w:p>
        </w:tc>
      </w:tr>
      <w:tr>
        <w:tc>
          <w:tcPr>
            <w:tcW w:type="dxa" w:w="4968"/>
          </w:tcPr>
          <w:p>
            <w:r>
              <w:t>Reviewers</w:t>
            </w:r>
          </w:p>
        </w:tc>
        <w:tc>
          <w:tcPr>
            <w:tcW w:type="dxa" w:w="4968"/>
          </w:tcPr>
          <w:p>
            <w:r>
              <w:t>TBD</w:t>
            </w:r>
          </w:p>
        </w:tc>
      </w:tr>
      <w:tr>
        <w:tc>
          <w:tcPr>
            <w:tcW w:type="dxa" w:w="4968"/>
          </w:tcPr>
          <w:p>
            <w:r>
              <w:t>Created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Last Updated</w:t>
            </w:r>
          </w:p>
        </w:tc>
        <w:tc>
          <w:tcPr>
            <w:tcW w:type="dxa" w:w="4968"/>
          </w:tcPr>
          <w:p>
            <w:r>
              <w:t>2026-07-09</w:t>
            </w:r>
          </w:p>
        </w:tc>
      </w:tr>
      <w:tr>
        <w:tc>
          <w:tcPr>
            <w:tcW w:type="dxa" w:w="4968"/>
          </w:tcPr>
          <w:p>
            <w:r>
              <w:t>Classification</w:t>
            </w:r>
          </w:p>
        </w:tc>
        <w:tc>
          <w:tcPr>
            <w:tcW w:type="dxa" w:w="4968"/>
          </w:tcPr>
          <w:p>
            <w:r>
              <w:t>Public</w:t>
            </w:r>
          </w:p>
        </w:tc>
      </w:tr>
      <w:tr>
        <w:tc>
          <w:tcPr>
            <w:tcW w:type="dxa" w:w="4968"/>
          </w:tcPr>
          <w:p>
            <w:r>
              <w:t>Target</w:t>
            </w:r>
          </w:p>
        </w:tc>
        <w:tc>
          <w:tcPr>
            <w:tcW w:type="dxa" w:w="4968"/>
          </w:tcPr>
          <w:p>
            <w:r>
              <w:t>SynapseOS Reference Architecture</w:t>
            </w:r>
          </w:p>
        </w:tc>
      </w:tr>
      <w:tr>
        <w:tc>
          <w:tcPr>
            <w:tcW w:type="dxa" w:w="4968"/>
          </w:tcPr>
          <w:p>
            <w:r>
              <w:t>Requires</w:t>
            </w:r>
          </w:p>
        </w:tc>
        <w:tc>
          <w:tcPr>
            <w:tcW w:type="dxa" w:w="4968"/>
          </w:tcPr>
          <w:p>
            <w:r>
              <w:t>RFC-0001 and applicable predecessor RFCs; GOV and STD libraries</w:t>
            </w:r>
          </w:p>
        </w:tc>
      </w:tr>
      <w:tr>
        <w:tc>
          <w:tcPr>
            <w:tcW w:type="dxa" w:w="4968"/>
          </w:tcPr>
          <w:p>
            <w:r>
              <w:t>Supersedes</w:t>
            </w:r>
          </w:p>
        </w:tc>
        <w:tc>
          <w:tcPr>
            <w:tcW w:type="dxa" w:w="4968"/>
          </w:tcPr>
          <w:p>
            <w:r>
              <w:t>None</w:t>
            </w:r>
          </w:p>
        </w:tc>
      </w:tr>
    </w:tbl>
    <w:p>
      <w:pPr>
        <w:pStyle w:val="Heading1"/>
      </w:pPr>
      <w:r>
        <w:t>RFC Status and Normative Language</w:t>
      </w:r>
    </w:p>
    <w:p>
      <w:r>
        <w:t>This is a Draft implementation contract. SHALL and MUST denote mandatory conformance requirements; SHOULD denotes a recommended requirement requiring justification when omitted; MAY denotes an optional capability.</w:t>
      </w:r>
    </w:p>
    <w:p>
      <w:pPr>
        <w:pStyle w:val="Heading1"/>
      </w:pPr>
      <w:r>
        <w:t>Decision Summary</w:t>
      </w:r>
    </w:p>
    <w:p>
      <w:r>
        <w:t>Adopt the architecture and contracts defined by RFC-0015 for Reasoning Runtime, subject to architecture review, dependency validation and accepted amendments.</w:t>
      </w:r>
    </w:p>
    <w:p>
      <w:pPr>
        <w:pStyle w:val="Heading1"/>
      </w:pPr>
      <w:r>
        <w:t>1. Abstract</w:t>
      </w:r>
    </w:p>
    <w:p>
      <w:r>
        <w:t>Defines a model-agnostic runtime for structured problem decomposition, evidence use and decision proposals.</w:t>
      </w:r>
    </w:p>
    <w:p>
      <w:pPr>
        <w:pStyle w:val="Heading1"/>
      </w:pPr>
      <w:r>
        <w:t>2. Principle</w:t>
      </w:r>
    </w:p>
    <w:p>
      <w:r>
        <w:t>Reasoning is a bounded computational process that produces proposals and evidence references, not authority.</w:t>
      </w:r>
    </w:p>
    <w:p>
      <w:pPr>
        <w:pStyle w:val="Heading1"/>
      </w:pPr>
      <w:r>
        <w:t>3. Reasoning Request</w:t>
      </w:r>
    </w:p>
    <w:p>
      <w:r>
        <w:t>problem, objective, constraints, available evidence, allowed methods, budget and required output schema.</w:t>
      </w:r>
    </w:p>
    <w:p>
      <w:pPr>
        <w:pStyle w:val="Heading1"/>
      </w:pPr>
      <w:r>
        <w:t>4. Reasoning Result</w:t>
      </w:r>
    </w:p>
    <w:p>
      <w:r>
        <w:t>conclusion/proposal, assumptions, evidence references, uncertainty, alternatives, unresolved questions and resource usage.</w:t>
      </w:r>
    </w:p>
    <w:p>
      <w:pPr>
        <w:pStyle w:val="Heading1"/>
      </w:pPr>
      <w:r>
        <w:t>5. No Chain-of-Thought Requirement</w:t>
      </w:r>
    </w:p>
    <w:p>
      <w:r>
        <w:t>The runtime SHALL NOT require exposure or persistence of private chain-of-thought. It stores concise rationale and verifiable intermediate artifacts where useful.</w:t>
      </w:r>
    </w:p>
    <w:p>
      <w:pPr>
        <w:pStyle w:val="Heading1"/>
      </w:pPr>
      <w:r>
        <w:t>6. Methods</w:t>
      </w:r>
    </w:p>
    <w:p>
      <w:r>
        <w:t>Direct inference, decomposition, compare alternatives, constraint solving, retrieval-grounded analysis and tool-assisted calculation.</w:t>
      </w:r>
    </w:p>
    <w:p>
      <w:pPr>
        <w:pStyle w:val="Heading1"/>
      </w:pPr>
      <w:r>
        <w:t>7. Method Registry</w:t>
      </w:r>
    </w:p>
    <w:p>
      <w:r>
        <w:t>Reasoning methods are versioned strategies with prerequisites and budgets.</w:t>
      </w:r>
    </w:p>
    <w:p>
      <w:pPr>
        <w:pStyle w:val="Heading1"/>
      </w:pPr>
      <w:r>
        <w:t>8. Decomposition</w:t>
      </w:r>
    </w:p>
    <w:p>
      <w:r>
        <w:t>Subproblems become bounded tasks under RFC-0003.</w:t>
      </w:r>
    </w:p>
    <w:p>
      <w:pPr>
        <w:pStyle w:val="Heading1"/>
      </w:pPr>
      <w:r>
        <w:t>9. Evidence</w:t>
      </w:r>
    </w:p>
    <w:p>
      <w:r>
        <w:t>Use RFC-0012 knowledge references and distinguish evidence from model prior.</w:t>
      </w:r>
    </w:p>
    <w:p>
      <w:pPr>
        <w:pStyle w:val="Heading1"/>
      </w:pPr>
      <w:r>
        <w:t>10. Assumptions</w:t>
      </w:r>
    </w:p>
    <w:p>
      <w:r>
        <w:t>Material assumptions are explicit and testable where possible.</w:t>
      </w:r>
    </w:p>
    <w:p>
      <w:pPr>
        <w:pStyle w:val="Heading1"/>
      </w:pPr>
      <w:r>
        <w:t>11. Uncertainty</w:t>
      </w:r>
    </w:p>
    <w:p>
      <w:r>
        <w:t>Represent unknown, disputed and low-confidence outcomes.</w:t>
      </w:r>
    </w:p>
    <w:p>
      <w:pPr>
        <w:pStyle w:val="Heading1"/>
      </w:pPr>
      <w:r>
        <w:t>12. Abstention</w:t>
      </w:r>
    </w:p>
    <w:p>
      <w:r>
        <w:t>Runtime can return insufficient evidence rather than fabricate certainty.</w:t>
      </w:r>
    </w:p>
    <w:p>
      <w:pPr>
        <w:pStyle w:val="Heading1"/>
      </w:pPr>
      <w:r>
        <w:t>13. Verification</w:t>
      </w:r>
    </w:p>
    <w:p>
      <w:r>
        <w:t>Use deterministic tools, independent sources or evaluator methods where appropriate.</w:t>
      </w:r>
    </w:p>
    <w:p>
      <w:pPr>
        <w:pStyle w:val="Heading1"/>
      </w:pPr>
      <w:r>
        <w:t>14. Calculations</w:t>
      </w:r>
    </w:p>
    <w:p>
      <w:r>
        <w:t>Prefer trusted calculators/code tools for arithmetic and reproducible computation.</w:t>
      </w:r>
    </w:p>
    <w:p>
      <w:pPr>
        <w:pStyle w:val="Heading1"/>
      </w:pPr>
      <w:r>
        <w:t>15. Alternative Generation</w:t>
      </w:r>
    </w:p>
    <w:p>
      <w:r>
        <w:t>Generate bounded alternatives before selection for high-impact decisions where useful.</w:t>
      </w:r>
    </w:p>
    <w:p>
      <w:pPr>
        <w:pStyle w:val="Heading1"/>
      </w:pPr>
      <w:r>
        <w:t>16. Critique</w:t>
      </w:r>
    </w:p>
    <w:p>
      <w:r>
        <w:t>Critique is a separate bounded pass and not proof of correctness.</w:t>
      </w:r>
    </w:p>
    <w:p>
      <w:pPr>
        <w:pStyle w:val="Heading1"/>
      </w:pPr>
      <w:r>
        <w:t>17. Model Diversity</w:t>
      </w:r>
    </w:p>
    <w:p>
      <w:r>
        <w:t>Multiple models MAY be used, but agreement is not independent truth.</w:t>
      </w:r>
    </w:p>
    <w:p>
      <w:pPr>
        <w:pStyle w:val="Heading1"/>
      </w:pPr>
      <w:r>
        <w:t>18. Budget</w:t>
      </w:r>
    </w:p>
    <w:p>
      <w:r>
        <w:t>Bound model calls, tokens, tasks and elapsed time.</w:t>
      </w:r>
    </w:p>
    <w:p>
      <w:pPr>
        <w:pStyle w:val="Heading1"/>
      </w:pPr>
      <w:r>
        <w:t>19. Context</w:t>
      </w:r>
    </w:p>
    <w:p>
      <w:r>
        <w:t>Separate instructions, evidence, memory and untrusted content.</w:t>
      </w:r>
    </w:p>
    <w:p>
      <w:pPr>
        <w:pStyle w:val="Heading1"/>
      </w:pPr>
      <w:r>
        <w:t>20. Injection Defence</w:t>
      </w:r>
    </w:p>
    <w:p>
      <w:r>
        <w:t>Evidence cannot alter reasoning policy or capabilities.</w:t>
      </w:r>
    </w:p>
    <w:p>
      <w:pPr>
        <w:pStyle w:val="Heading1"/>
      </w:pPr>
      <w:r>
        <w:t>21. Determinism</w:t>
      </w:r>
    </w:p>
    <w:p>
      <w:r>
        <w:t>Record parameters and acknowledge stochasticity.</w:t>
      </w:r>
    </w:p>
    <w:p>
      <w:pPr>
        <w:pStyle w:val="Heading1"/>
      </w:pPr>
      <w:r>
        <w:t>22. Caching</w:t>
      </w:r>
    </w:p>
    <w:p>
      <w:r>
        <w:t>Only cache eligible reasoning artifacts with input/version identity.</w:t>
      </w:r>
    </w:p>
    <w:p>
      <w:pPr>
        <w:pStyle w:val="Heading1"/>
      </w:pPr>
      <w:r>
        <w:t>23. Observability</w:t>
      </w:r>
    </w:p>
    <w:p>
      <w:r>
        <w:t>Record method, model IDs, evidence refs, budgets and outcome status.</w:t>
      </w:r>
    </w:p>
    <w:p>
      <w:pPr>
        <w:pStyle w:val="Heading1"/>
      </w:pPr>
      <w:r>
        <w:t>24. Testing</w:t>
      </w:r>
    </w:p>
    <w:p>
      <w:r>
        <w:t>Known-answer cases, adversarial evidence, missing evidence, contradictions, calculation and injection.</w:t>
      </w:r>
    </w:p>
    <w:p>
      <w:pPr>
        <w:pStyle w:val="Heading1"/>
      </w:pPr>
      <w:r>
        <w:t>25. Acceptance Criteria</w:t>
      </w:r>
    </w:p>
    <w:p>
      <w:r>
        <w:t>Reference runtime solves a bounded evidence-backed task, reports uncertainty and refuses unsupported certainty.</w:t>
      </w:r>
    </w:p>
    <w:p>
      <w:pPr>
        <w:pStyle w:val="Heading1"/>
      </w:pPr>
      <w:r>
        <w:t>26. Open Questions</w:t>
      </w:r>
    </w:p>
    <w:p>
      <w:r>
        <w:t>Initial method set; evaluator strategy; artifact schema.</w:t>
      </w:r>
    </w:p>
    <w:p>
      <w:pPr>
        <w:pStyle w:val="Heading1"/>
      </w:pPr>
      <w:r>
        <w:t>Conformance Requirements</w:t>
      </w:r>
    </w:p>
    <w:p>
      <w:r>
        <w:t>□ Target RFC version identified</w:t>
      </w:r>
    </w:p>
    <w:p>
      <w:r>
        <w:t>□ Mandatory interfaces/invariants tested</w:t>
      </w:r>
    </w:p>
    <w:p>
      <w:r>
        <w:t>□ Identity and capability boundaries enforced outside prompts</w:t>
      </w:r>
    </w:p>
    <w:p>
      <w:r>
        <w:t>□ Negative/failure paths tested</w:t>
      </w:r>
    </w:p>
    <w:p>
      <w:r>
        <w:t>□ Observability evidence available</w:t>
      </w:r>
    </w:p>
    <w:p>
      <w:r>
        <w:t>□ Data lifecycle requirements implemented</w:t>
      </w:r>
    </w:p>
    <w:p>
      <w:r>
        <w:t>□ Deviations recorded through ADR/RFC governance</w:t>
      </w:r>
    </w:p>
    <w:p>
      <w:r>
        <w:t>□ No unsupported implementation claims</w:t>
      </w:r>
    </w:p>
    <w:p>
      <w:pPr>
        <w:pStyle w:val="Heading1"/>
      </w:pPr>
      <w:r>
        <w:t>Implementation Plan</w:t>
      </w:r>
    </w:p>
    <w:p>
      <w:r>
        <w:t>Phase A – Define schemas and interfaces.</w:t>
      </w:r>
    </w:p>
    <w:p>
      <w:r>
        <w:t>Phase B – Build smallest local reference implementation.</w:t>
      </w:r>
    </w:p>
    <w:p>
      <w:r>
        <w:t>Phase C – Add conformance and negative tests.</w:t>
      </w:r>
    </w:p>
    <w:p>
      <w:r>
        <w:t>Phase D – Integrate predecessor RFC contracts.</w:t>
      </w:r>
    </w:p>
    <w:p>
      <w:r>
        <w:t>Phase E – Record technology choices as ADRs.</w:t>
      </w:r>
    </w:p>
    <w:p>
      <w:r>
        <w:t>Phase F – Review evidence before status change.</w:t>
      </w:r>
    </w:p>
    <w:p>
      <w:pPr>
        <w:pStyle w:val="Heading1"/>
      </w:pPr>
      <w:r>
        <w:t>Change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Version</w:t>
            </w:r>
          </w:p>
        </w:tc>
        <w:tc>
          <w:tcPr>
            <w:tcW w:type="dxa" w:w="2484"/>
          </w:tcPr>
          <w:p>
            <w:r>
              <w:t>Date</w:t>
            </w:r>
          </w:p>
        </w:tc>
        <w:tc>
          <w:tcPr>
            <w:tcW w:type="dxa" w:w="2484"/>
          </w:tcPr>
          <w:p>
            <w:r>
              <w:t>Author</w:t>
            </w:r>
          </w:p>
        </w:tc>
        <w:tc>
          <w:tcPr>
            <w:tcW w:type="dxa" w:w="2484"/>
          </w:tcPr>
          <w:p>
            <w:r>
              <w:t>Change</w:t>
            </w:r>
          </w:p>
        </w:tc>
      </w:tr>
      <w:tr>
        <w:tc>
          <w:tcPr>
            <w:tcW w:type="dxa" w:w="2484"/>
          </w:tcPr>
          <w:p>
            <w:r>
              <w:t>0.1.0</w:t>
            </w:r>
          </w:p>
        </w:tc>
        <w:tc>
          <w:tcPr>
            <w:tcW w:type="dxa" w:w="2484"/>
          </w:tcPr>
          <w:p>
            <w:r>
              <w:t>2026-07-09</w:t>
            </w:r>
          </w:p>
        </w:tc>
        <w:tc>
          <w:tcPr>
            <w:tcW w:type="dxa" w:w="2484"/>
          </w:tcPr>
          <w:p>
            <w:r>
              <w:t>Denver Jacobs</w:t>
            </w:r>
          </w:p>
        </w:tc>
        <w:tc>
          <w:tcPr>
            <w:tcW w:type="dxa" w:w="2484"/>
          </w:tcPr>
          <w:p>
            <w:r>
              <w:t>Initial draft</w:t>
            </w:r>
          </w:p>
        </w:tc>
      </w:tr>
    </w:tbl>
    <w:p>
      <w:pPr>
        <w:pStyle w:val="Heading1"/>
      </w:pPr>
      <w:r>
        <w:t>Architecture Decisions Required</w:t>
      </w:r>
    </w:p>
    <w:p>
      <w:r>
        <w:t>Technology-specific decisions discovered during implementation SHALL be captured as ADRs rather than silently embedded into code.</w:t>
      </w:r>
    </w:p>
    <w:p>
      <w:pPr>
        <w:pStyle w:val="Heading1"/>
      </w:pPr>
      <w:r>
        <w:t>References</w:t>
      </w:r>
    </w:p>
    <w:p>
      <w:r>
        <w:t>SynapseOS Governance Library; SynapseOS Standards Library STD-001 through STD-030; RFC-0001 through applicable predecessor RFCs.</w:t>
      </w:r>
    </w:p>
    <w:p>
      <w:pPr>
        <w:pStyle w:val="Heading1"/>
      </w:pPr>
      <w:r>
        <w:t>Approval</w:t>
      </w:r>
    </w:p>
    <w:p>
      <w:r>
        <w:t>Author: Denver Jacobs ____________________  Date: __________</w:t>
        <w:br/>
        <w:br/>
        <w:t>Architecture Review: ____________________  Date: __________</w:t>
        <w:br/>
        <w:br/>
        <w:t>Security Review: ________________________  Date: __________</w:t>
        <w:br/>
        <w:br/>
        <w:t>Approved By: ___________________________  Date: __________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