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RFC-0018 – Reflection Framework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RFC-0018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Reflection Framework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RFC-0001 and applicable predecessor RFCs; GOV and STD libraries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RFC-0018 for Reflection Framework, subject to architecture review, dependency validation and accepted amendments.</w:t>
      </w:r>
    </w:p>
    <w:p>
      <w:pPr>
        <w:pStyle w:val="Heading1"/>
      </w:pPr>
      <w:r>
        <w:t>1. Abstract</w:t>
      </w:r>
    </w:p>
    <w:p>
      <w:r>
        <w:t>Defines bounded post-action and pre-decision reflection for improving reliability without granting self-modification authority.</w:t>
      </w:r>
    </w:p>
    <w:p>
      <w:pPr>
        <w:pStyle w:val="Heading1"/>
      </w:pPr>
      <w:r>
        <w:t>2. Reflection Types</w:t>
      </w:r>
    </w:p>
    <w:p>
      <w:r>
        <w:t>Outcome review, error analysis, assumption review, plan critique, evidence critique and procedure-improvement proposal.</w:t>
      </w:r>
    </w:p>
    <w:p>
      <w:pPr>
        <w:pStyle w:val="Heading1"/>
      </w:pPr>
      <w:r>
        <w:t>3. Principle</w:t>
      </w:r>
    </w:p>
    <w:p>
      <w:r>
        <w:t>Reflection is advisory analysis. It cannot alter capabilities, policy, production code or durable memory without governed pathways.</w:t>
      </w:r>
    </w:p>
    <w:p>
      <w:pPr>
        <w:pStyle w:val="Heading1"/>
      </w:pPr>
      <w:r>
        <w:t>4. Reflection Request</w:t>
      </w:r>
    </w:p>
    <w:p>
      <w:r>
        <w:t>target artifact/run, objective, evidence, rubric, budget and allowed outputs.</w:t>
      </w:r>
    </w:p>
    <w:p>
      <w:pPr>
        <w:pStyle w:val="Heading1"/>
      </w:pPr>
      <w:r>
        <w:t>5. Reflection Result</w:t>
      </w:r>
    </w:p>
    <w:p>
      <w:r>
        <w:t>findings, detected failures, assumptions, evidence gaps, proposed corrections, confidence and references.</w:t>
      </w:r>
    </w:p>
    <w:p>
      <w:pPr>
        <w:pStyle w:val="Heading1"/>
      </w:pPr>
      <w:r>
        <w:t>6. Post-Run Reflection</w:t>
      </w:r>
    </w:p>
    <w:p>
      <w:r>
        <w:t>May analyse whether objective was met and identify recoverable lessons.</w:t>
      </w:r>
    </w:p>
    <w:p>
      <w:pPr>
        <w:pStyle w:val="Heading1"/>
      </w:pPr>
      <w:r>
        <w:t>7. Pre-Action Reflection</w:t>
      </w:r>
    </w:p>
    <w:p>
      <w:r>
        <w:t>For selected high-impact actions, may critique proposal before approval/execution.</w:t>
      </w:r>
    </w:p>
    <w:p>
      <w:pPr>
        <w:pStyle w:val="Heading1"/>
      </w:pPr>
      <w:r>
        <w:t>8. Error Taxonomy</w:t>
      </w:r>
    </w:p>
    <w:p>
      <w:r>
        <w:t>Classify reasoning, retrieval, planning, tool, policy, data, model and external dependency failures.</w:t>
      </w:r>
    </w:p>
    <w:p>
      <w:pPr>
        <w:pStyle w:val="Heading1"/>
      </w:pPr>
      <w:r>
        <w:t>9. Evidence</w:t>
      </w:r>
    </w:p>
    <w:p>
      <w:r>
        <w:t>Reflection uses actual run evidence and must distinguish missing evidence.</w:t>
      </w:r>
    </w:p>
    <w:p>
      <w:pPr>
        <w:pStyle w:val="Heading1"/>
      </w:pPr>
      <w:r>
        <w:t>10. No Fabrication</w:t>
      </w:r>
    </w:p>
    <w:p>
      <w:r>
        <w:t>Cannot claim actions/tests occurred if absent from evidence.</w:t>
      </w:r>
    </w:p>
    <w:p>
      <w:pPr>
        <w:pStyle w:val="Heading1"/>
      </w:pPr>
      <w:r>
        <w:t>11. Memory Proposal</w:t>
      </w:r>
    </w:p>
    <w:p>
      <w:r>
        <w:t>Lessons may be proposed to RFC-0011 write pipeline.</w:t>
      </w:r>
    </w:p>
    <w:p>
      <w:pPr>
        <w:pStyle w:val="Heading1"/>
      </w:pPr>
      <w:r>
        <w:t>12. Procedure Proposal</w:t>
      </w:r>
    </w:p>
    <w:p>
      <w:r>
        <w:t>Workflow improvements route to RFC-0017.</w:t>
      </w:r>
    </w:p>
    <w:p>
      <w:pPr>
        <w:pStyle w:val="Heading1"/>
      </w:pPr>
      <w:r>
        <w:t>13. Plan Feedback</w:t>
      </w:r>
    </w:p>
    <w:p>
      <w:r>
        <w:t>Planning changes route to RFC-0016 versioning.</w:t>
      </w:r>
    </w:p>
    <w:p>
      <w:pPr>
        <w:pStyle w:val="Heading1"/>
      </w:pPr>
      <w:r>
        <w:t>14. Model Feedback</w:t>
      </w:r>
    </w:p>
    <w:p>
      <w:r>
        <w:t>Model performance observations route to STD-019 evaluation.</w:t>
      </w:r>
    </w:p>
    <w:p>
      <w:pPr>
        <w:pStyle w:val="Heading1"/>
      </w:pPr>
      <w:r>
        <w:t>15. Self-Critique Limits</w:t>
      </w:r>
    </w:p>
    <w:p>
      <w:r>
        <w:t>A model critiquing itself is not independent verification.</w:t>
      </w:r>
    </w:p>
    <w:p>
      <w:pPr>
        <w:pStyle w:val="Heading1"/>
      </w:pPr>
      <w:r>
        <w:t>16. Independent Review</w:t>
      </w:r>
    </w:p>
    <w:p>
      <w:r>
        <w:t>High-impact cases MAY use separate model, deterministic checks or human review.</w:t>
      </w:r>
    </w:p>
    <w:p>
      <w:pPr>
        <w:pStyle w:val="Heading1"/>
      </w:pPr>
      <w:r>
        <w:t>17. Budget</w:t>
      </w:r>
    </w:p>
    <w:p>
      <w:r>
        <w:t>Bound calls, tokens and elapsed time.</w:t>
      </w:r>
    </w:p>
    <w:p>
      <w:pPr>
        <w:pStyle w:val="Heading1"/>
      </w:pPr>
      <w:r>
        <w:t>18. Privacy</w:t>
      </w:r>
    </w:p>
    <w:p>
      <w:r>
        <w:t>Avoid unnecessary reproduction of sensitive run content.</w:t>
      </w:r>
    </w:p>
    <w:p>
      <w:pPr>
        <w:pStyle w:val="Heading1"/>
      </w:pPr>
      <w:r>
        <w:t>19. Retention</w:t>
      </w:r>
    </w:p>
    <w:p>
      <w:r>
        <w:t>Store concise reflection artifacts, not hidden chain-of-thought.</w:t>
      </w:r>
    </w:p>
    <w:p>
      <w:pPr>
        <w:pStyle w:val="Heading1"/>
      </w:pPr>
      <w:r>
        <w:t>20. Observability</w:t>
      </w:r>
    </w:p>
    <w:p>
      <w:r>
        <w:t>Record trigger, target, method, model, evidence refs and proposed outcomes.</w:t>
      </w:r>
    </w:p>
    <w:p>
      <w:pPr>
        <w:pStyle w:val="Heading1"/>
      </w:pPr>
      <w:r>
        <w:t>21. Testing</w:t>
      </w:r>
    </w:p>
    <w:p>
      <w:r>
        <w:t>False-success run, missing evidence, injection in logs, self-serving critique and repeated reflection loops.</w:t>
      </w:r>
    </w:p>
    <w:p>
      <w:pPr>
        <w:pStyle w:val="Heading1"/>
      </w:pPr>
      <w:r>
        <w:t>22. Loop Prevention</w:t>
      </w:r>
    </w:p>
    <w:p>
      <w:r>
        <w:t>Reflection cannot recursively invoke itself without explicit bounded policy.</w:t>
      </w:r>
    </w:p>
    <w:p>
      <w:pPr>
        <w:pStyle w:val="Heading1"/>
      </w:pPr>
      <w:r>
        <w:t>23. Acceptance Criteria</w:t>
      </w:r>
    </w:p>
    <w:p>
      <w:r>
        <w:t>Reference framework reviews a failed run, identifies evidence-backed cause and proposes—but does not apply—a correction.</w:t>
      </w:r>
    </w:p>
    <w:p>
      <w:pPr>
        <w:pStyle w:val="Heading1"/>
      </w:pPr>
      <w:r>
        <w:t>24. Open Questions</w:t>
      </w:r>
    </w:p>
    <w:p>
      <w:r>
        <w:t>Automatic reflection triggers; rubric registry; independent reviewer policy.</w:t>
      </w:r>
    </w:p>
    <w:p>
      <w:pPr>
        <w:pStyle w:val="Heading1"/>
      </w:pPr>
      <w:r>
        <w:t>Conformance Requirements</w:t>
      </w:r>
    </w:p>
    <w:p>
      <w:r>
        <w:t>□ Target RFC version identified</w:t>
      </w:r>
    </w:p>
    <w:p>
      <w:r>
        <w:t>□ Mandatory interfaces/invariants tested</w:t>
      </w:r>
    </w:p>
    <w:p>
      <w:r>
        <w:t>□ Identity and capability boundaries enforced outside prompts</w:t>
      </w:r>
    </w:p>
    <w:p>
      <w:r>
        <w:t>□ Negative/failure paths tested</w:t>
      </w:r>
    </w:p>
    <w:p>
      <w:r>
        <w:t>□ Observability evidence available</w:t>
      </w:r>
    </w:p>
    <w:p>
      <w:r>
        <w:t>□ Data lifecycle requirements implemented</w:t>
      </w:r>
    </w:p>
    <w:p>
      <w:r>
        <w:t>□ Deviations recorded through ADR/RFC governance</w:t>
      </w:r>
    </w:p>
    <w:p>
      <w:r>
        <w:t>□ No unsupported implementation claims</w:t>
      </w:r>
    </w:p>
    <w:p>
      <w:pPr>
        <w:pStyle w:val="Heading1"/>
      </w:pPr>
      <w:r>
        <w:t>Implementation Plan</w:t>
      </w:r>
    </w:p>
    <w:p>
      <w:r>
        <w:t>Phase A – Define schemas and interfaces.</w:t>
      </w:r>
    </w:p>
    <w:p>
      <w:r>
        <w:t>Phase B – Build smallest local reference implementation.</w:t>
      </w:r>
    </w:p>
    <w:p>
      <w:r>
        <w:t>Phase C – Add conformance and negative tests.</w:t>
      </w:r>
    </w:p>
    <w:p>
      <w:r>
        <w:t>Phase D – Integrate predecessor RFC contracts.</w:t>
      </w:r>
    </w:p>
    <w:p>
      <w:r>
        <w:t>Phase E – Record technology choices as ADRs.</w:t>
      </w:r>
    </w:p>
    <w:p>
      <w:r>
        <w:t>Phase F – Review evidence before status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Library; SynapseOS Standards Library STD-001 through STD-030; RFC-0001 through applicable predecessor RFCs.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