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RFC-0020 – Observability &amp; Audit Architecture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RFC-0020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Observability &amp; Audit Architecture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RFC-0001 and applicable predecessor RFCs; GOV and STD libraries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RFC-0020 for Observability &amp; Audit Architecture, subject to architecture review, dependency validation and accepted amendments.</w:t>
      </w:r>
    </w:p>
    <w:p>
      <w:pPr>
        <w:pStyle w:val="Heading1"/>
      </w:pPr>
      <w:r>
        <w:t>1. Abstract</w:t>
      </w:r>
    </w:p>
    <w:p>
      <w:r>
        <w:t>Defines logs, metrics, traces, audit events and evidence architecture across SynapseOS.</w:t>
      </w:r>
    </w:p>
    <w:p>
      <w:pPr>
        <w:pStyle w:val="Heading1"/>
      </w:pPr>
      <w:r>
        <w:t>2. Goals</w:t>
      </w:r>
    </w:p>
    <w:p>
      <w:r>
        <w:t>Make system behaviour diagnosable, attributable, measurable and reviewable without uncontrolled sensitive-data collection.</w:t>
      </w:r>
    </w:p>
    <w:p>
      <w:pPr>
        <w:pStyle w:val="Heading1"/>
      </w:pPr>
      <w:r>
        <w:t>3. Signal Types</w:t>
      </w:r>
    </w:p>
    <w:p>
      <w:r>
        <w:t>Logs, Metrics, Traces, Audit Events, Security Events and Evaluation Evidence.</w:t>
      </w:r>
    </w:p>
    <w:p>
      <w:pPr>
        <w:pStyle w:val="Heading1"/>
      </w:pPr>
      <w:r>
        <w:t>4. Correlation</w:t>
      </w:r>
    </w:p>
    <w:p>
      <w:r>
        <w:t>Use trace_id, correlation_id, process_id, run_id, task_id and request_id consistently.</w:t>
      </w:r>
    </w:p>
    <w:p>
      <w:pPr>
        <w:pStyle w:val="Heading1"/>
      </w:pPr>
      <w:r>
        <w:t>5. Identity</w:t>
      </w:r>
    </w:p>
    <w:p>
      <w:r>
        <w:t>Consequential events include original/effective principal and delegation references where appropriate.</w:t>
      </w:r>
    </w:p>
    <w:p>
      <w:pPr>
        <w:pStyle w:val="Heading1"/>
      </w:pPr>
      <w:r>
        <w:t>6. Structured Logs</w:t>
      </w:r>
    </w:p>
    <w:p>
      <w:r>
        <w:t>Prefer typed structured fields over free-form text for machine analysis.</w:t>
      </w:r>
    </w:p>
    <w:p>
      <w:pPr>
        <w:pStyle w:val="Heading1"/>
      </w:pPr>
      <w:r>
        <w:t>7. Log Levels</w:t>
      </w:r>
    </w:p>
    <w:p>
      <w:r>
        <w:t>Trace, Debug, Info, Warn, Error and Critical with documented production policy.</w:t>
      </w:r>
    </w:p>
    <w:p>
      <w:pPr>
        <w:pStyle w:val="Heading1"/>
      </w:pPr>
      <w:r>
        <w:t>8. Sensitive Data</w:t>
      </w:r>
    </w:p>
    <w:p>
      <w:r>
        <w:t>Redact/minimise secrets, credentials, personal information and unnecessary prompts.</w:t>
      </w:r>
    </w:p>
    <w:p>
      <w:pPr>
        <w:pStyle w:val="Heading1"/>
      </w:pPr>
      <w:r>
        <w:t>9. Metrics</w:t>
      </w:r>
    </w:p>
    <w:p>
      <w:r>
        <w:t>Use counters, gauges and histograms with controlled cardinality.</w:t>
      </w:r>
    </w:p>
    <w:p>
      <w:pPr>
        <w:pStyle w:val="Heading1"/>
      </w:pPr>
      <w:r>
        <w:t>10. Core Metrics</w:t>
      </w:r>
    </w:p>
    <w:p>
      <w:r>
        <w:t>Availability, latency, errors, saturation, queue age, model usage, tool outcomes, budgets and policy denials.</w:t>
      </w:r>
    </w:p>
    <w:p>
      <w:pPr>
        <w:pStyle w:val="Heading1"/>
      </w:pPr>
      <w:r>
        <w:t>11. Tracing</w:t>
      </w:r>
    </w:p>
    <w:p>
      <w:r>
        <w:t>Trace cross-component requests and asynchronous causation where feasible.</w:t>
      </w:r>
    </w:p>
    <w:p>
      <w:pPr>
        <w:pStyle w:val="Heading1"/>
      </w:pPr>
      <w:r>
        <w:t>12. Audit Events</w:t>
      </w:r>
    </w:p>
    <w:p>
      <w:r>
        <w:t>Immutable-enough records of security/governance-relevant actions, separate from ordinary debug logs.</w:t>
      </w:r>
    </w:p>
    <w:p>
      <w:pPr>
        <w:pStyle w:val="Heading1"/>
      </w:pPr>
      <w:r>
        <w:t>13. Canonical Audit Event</w:t>
      </w:r>
    </w:p>
    <w:p>
      <w:r>
        <w:t>event_id, event_type, time, actor, effective actor, tenant, action, resource, outcome, policy/grant refs, correlation and safe metadata.</w:t>
      </w:r>
    </w:p>
    <w:p>
      <w:pPr>
        <w:pStyle w:val="Heading1"/>
      </w:pPr>
      <w:r>
        <w:t>14. Audit Scope</w:t>
      </w:r>
    </w:p>
    <w:p>
      <w:r>
        <w:t>Identity changes, capability grants, delegation, approvals, consequential tool actions, production changes, memory deletion and security events.</w:t>
      </w:r>
    </w:p>
    <w:p>
      <w:pPr>
        <w:pStyle w:val="Heading1"/>
      </w:pPr>
      <w:r>
        <w:t>15. Evidence Integrity</w:t>
      </w:r>
    </w:p>
    <w:p>
      <w:r>
        <w:t>Protect audit storage from ordinary application modification; use append-only controls where appropriate.</w:t>
      </w:r>
    </w:p>
    <w:p>
      <w:pPr>
        <w:pStyle w:val="Heading1"/>
      </w:pPr>
      <w:r>
        <w:t>16. Time</w:t>
      </w:r>
    </w:p>
    <w:p>
      <w:r>
        <w:t>Synchronise clocks and record timezone/UTC semantics.</w:t>
      </w:r>
    </w:p>
    <w:p>
      <w:pPr>
        <w:pStyle w:val="Heading1"/>
      </w:pPr>
      <w:r>
        <w:t>17. Retention</w:t>
      </w:r>
    </w:p>
    <w:p>
      <w:r>
        <w:t>Different signals have explicit retention based on purpose and regulation.</w:t>
      </w:r>
    </w:p>
    <w:p>
      <w:pPr>
        <w:pStyle w:val="Heading1"/>
      </w:pPr>
      <w:r>
        <w:t>18. Access</w:t>
      </w:r>
    </w:p>
    <w:p>
      <w:r>
        <w:t>Observability data is authorised and may itself be sensitive.</w:t>
      </w:r>
    </w:p>
    <w:p>
      <w:pPr>
        <w:pStyle w:val="Heading1"/>
      </w:pPr>
      <w:r>
        <w:t>19. Sampling</w:t>
      </w:r>
    </w:p>
    <w:p>
      <w:r>
        <w:t>Trace/log sampling cannot remove mandatory audit evidence.</w:t>
      </w:r>
    </w:p>
    <w:p>
      <w:pPr>
        <w:pStyle w:val="Heading1"/>
      </w:pPr>
      <w:r>
        <w:t>20. Cardinality</w:t>
      </w:r>
    </w:p>
    <w:p>
      <w:r>
        <w:t>Prevent unbounded labels such as raw user text or arbitrary IDs in metrics.</w:t>
      </w:r>
    </w:p>
    <w:p>
      <w:pPr>
        <w:pStyle w:val="Heading1"/>
      </w:pPr>
      <w:r>
        <w:t>21. Model Observability</w:t>
      </w:r>
    </w:p>
    <w:p>
      <w:r>
        <w:t>Record exact model route, latency, usage, errors and fallback; avoid full prompt logging by default.</w:t>
      </w:r>
    </w:p>
    <w:p>
      <w:pPr>
        <w:pStyle w:val="Heading1"/>
      </w:pPr>
      <w:r>
        <w:t>22. Agent Observability</w:t>
      </w:r>
    </w:p>
    <w:p>
      <w:r>
        <w:t>Track loop steps, budgets, tool proposals/actions, waits and termination.</w:t>
      </w:r>
    </w:p>
    <w:p>
      <w:pPr>
        <w:pStyle w:val="Heading1"/>
      </w:pPr>
      <w:r>
        <w:t>23. Tool Observability</w:t>
      </w:r>
    </w:p>
    <w:p>
      <w:r>
        <w:t>Trace validation, authorisation, approval, execution and result.</w:t>
      </w:r>
    </w:p>
    <w:p>
      <w:pPr>
        <w:pStyle w:val="Heading1"/>
      </w:pPr>
      <w:r>
        <w:t>24. Memory/Knowledge</w:t>
      </w:r>
    </w:p>
    <w:p>
      <w:r>
        <w:t>Track retrieval quality, denied access, stale/conflict signals and deletion propagation.</w:t>
      </w:r>
    </w:p>
    <w:p>
      <w:pPr>
        <w:pStyle w:val="Heading1"/>
      </w:pPr>
      <w:r>
        <w:t>25. Scheduler</w:t>
      </w:r>
    </w:p>
    <w:p>
      <w:r>
        <w:t>Queue depth, age, dispatch latency, fairness and worker health.</w:t>
      </w:r>
    </w:p>
    <w:p>
      <w:pPr>
        <w:pStyle w:val="Heading1"/>
      </w:pPr>
      <w:r>
        <w:t>26. Dashboards</w:t>
      </w:r>
    </w:p>
    <w:p>
      <w:r>
        <w:t>Provide operational views by component and critical workflow.</w:t>
      </w:r>
    </w:p>
    <w:p>
      <w:pPr>
        <w:pStyle w:val="Heading1"/>
      </w:pPr>
      <w:r>
        <w:t>27. Alerts</w:t>
      </w:r>
    </w:p>
    <w:p>
      <w:r>
        <w:t>Alerts are actionable, owned, severity-classified and tested.</w:t>
      </w:r>
    </w:p>
    <w:p>
      <w:pPr>
        <w:pStyle w:val="Heading1"/>
      </w:pPr>
      <w:r>
        <w:t>28. SLOs</w:t>
      </w:r>
    </w:p>
    <w:p>
      <w:r>
        <w:t>Link selected alerts to service objectives and error budgets.</w:t>
      </w:r>
    </w:p>
    <w:p>
      <w:pPr>
        <w:pStyle w:val="Heading1"/>
      </w:pPr>
      <w:r>
        <w:t>29. Incident Support</w:t>
      </w:r>
    </w:p>
    <w:p>
      <w:r>
        <w:t>Preserve correlation and evidence export for incident timelines.</w:t>
      </w:r>
    </w:p>
    <w:p>
      <w:pPr>
        <w:pStyle w:val="Heading1"/>
      </w:pPr>
      <w:r>
        <w:t>30. User-Facing Status</w:t>
      </w:r>
    </w:p>
    <w:p>
      <w:r>
        <w:t>Expose appropriate status without leaking internal sensitive details.</w:t>
      </w:r>
    </w:p>
    <w:p>
      <w:pPr>
        <w:pStyle w:val="Heading1"/>
      </w:pPr>
      <w:r>
        <w:t>31. OpenTelemetry Direction</w:t>
      </w:r>
    </w:p>
    <w:p>
      <w:r>
        <w:t>Reference architecture SHOULD use OpenTelemetry-compatible concepts to preserve portability, subject to ADR.</w:t>
      </w:r>
    </w:p>
    <w:p>
      <w:pPr>
        <w:pStyle w:val="Heading1"/>
      </w:pPr>
      <w:r>
        <w:t>32. Local-First Bootstrap</w:t>
      </w:r>
    </w:p>
    <w:p>
      <w:r>
        <w:t>Phase 1 may use local structured logs, metrics endpoint and lightweight collector/storage.</w:t>
      </w:r>
    </w:p>
    <w:p>
      <w:pPr>
        <w:pStyle w:val="Heading1"/>
      </w:pPr>
      <w:r>
        <w:t>33. Audit Query</w:t>
      </w:r>
    </w:p>
    <w:p>
      <w:r>
        <w:t>Provide controlled search by time, actor, action, resource and correlation.</w:t>
      </w:r>
    </w:p>
    <w:p>
      <w:pPr>
        <w:pStyle w:val="Heading1"/>
      </w:pPr>
      <w:r>
        <w:t>34. Tamper Signals</w:t>
      </w:r>
    </w:p>
    <w:p>
      <w:r>
        <w:t>Detect gaps or unauthorised changes where integrity requirements justify it.</w:t>
      </w:r>
    </w:p>
    <w:p>
      <w:pPr>
        <w:pStyle w:val="Heading1"/>
      </w:pPr>
      <w:r>
        <w:t>35. Cost</w:t>
      </w:r>
    </w:p>
    <w:p>
      <w:r>
        <w:t>Bound telemetry volume and retention without disabling critical evidence.</w:t>
      </w:r>
    </w:p>
    <w:p>
      <w:pPr>
        <w:pStyle w:val="Heading1"/>
      </w:pPr>
      <w:r>
        <w:t>36. Testing</w:t>
      </w:r>
    </w:p>
    <w:p>
      <w:r>
        <w:t>Correlation propagation, redaction, audit completeness, sampling separation, alert firing and clock skew.</w:t>
      </w:r>
    </w:p>
    <w:p>
      <w:pPr>
        <w:pStyle w:val="Heading1"/>
      </w:pPr>
      <w:r>
        <w:t>37. Claude Code Evidence</w:t>
      </w:r>
    </w:p>
    <w:p>
      <w:r>
        <w:t>Development agents must not claim tests/actions without captured command/output or equivalent reviewable evidence.</w:t>
      </w:r>
    </w:p>
    <w:p>
      <w:pPr>
        <w:pStyle w:val="Heading1"/>
      </w:pPr>
      <w:r>
        <w:t>38. Acceptance Criteria</w:t>
      </w:r>
    </w:p>
    <w:p>
      <w:r>
        <w:t>Reference system correlates an agent run through model call, capability decision, tool execution and resulting audit event while redacting secrets.</w:t>
      </w:r>
    </w:p>
    <w:p>
      <w:pPr>
        <w:pStyle w:val="Heading1"/>
      </w:pPr>
      <w:r>
        <w:t>39. Open Questions</w:t>
      </w:r>
    </w:p>
    <w:p>
      <w:r>
        <w:t>Initial collector/store; audit integrity mechanism; default retention; dashboard stack.</w:t>
      </w:r>
    </w:p>
    <w:p>
      <w:pPr>
        <w:pStyle w:val="Heading1"/>
      </w:pPr>
      <w:r>
        <w:t>Conformance Requirements</w:t>
      </w:r>
    </w:p>
    <w:p>
      <w:r>
        <w:t>□ Target RFC version identified</w:t>
      </w:r>
    </w:p>
    <w:p>
      <w:r>
        <w:t>□ Mandatory interfaces/invariants tested</w:t>
      </w:r>
    </w:p>
    <w:p>
      <w:r>
        <w:t>□ Identity and capability boundaries enforced outside prompts</w:t>
      </w:r>
    </w:p>
    <w:p>
      <w:r>
        <w:t>□ Negative/failure paths tested</w:t>
      </w:r>
    </w:p>
    <w:p>
      <w:r>
        <w:t>□ Observability evidence available</w:t>
      </w:r>
    </w:p>
    <w:p>
      <w:r>
        <w:t>□ Data lifecycle requirements implemented</w:t>
      </w:r>
    </w:p>
    <w:p>
      <w:r>
        <w:t>□ Deviations recorded through ADR/RFC governance</w:t>
      </w:r>
    </w:p>
    <w:p>
      <w:r>
        <w:t>□ No unsupported implementation claims</w:t>
      </w:r>
    </w:p>
    <w:p>
      <w:pPr>
        <w:pStyle w:val="Heading1"/>
      </w:pPr>
      <w:r>
        <w:t>Implementation Plan</w:t>
      </w:r>
    </w:p>
    <w:p>
      <w:r>
        <w:t>Phase A – Define schemas and interfaces.</w:t>
      </w:r>
    </w:p>
    <w:p>
      <w:r>
        <w:t>Phase B – Build smallest local reference implementation.</w:t>
      </w:r>
    </w:p>
    <w:p>
      <w:r>
        <w:t>Phase C – Add conformance and negative tests.</w:t>
      </w:r>
    </w:p>
    <w:p>
      <w:r>
        <w:t>Phase D – Integrate predecessor RFC contracts.</w:t>
      </w:r>
    </w:p>
    <w:p>
      <w:r>
        <w:t>Phase E – Record technology choices as ADRs.</w:t>
      </w:r>
    </w:p>
    <w:p>
      <w:r>
        <w:t>Phase F – Review evidence before status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Library; SynapseOS Standards Library STD-001 through STD-030; RFC-0001 through applicable predecessor RFCs.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