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SynapseOS Engineering Manual</w:t>
      </w:r>
    </w:p>
    <w:p>
      <w:pPr>
        <w:jc w:val="center"/>
      </w:pPr>
      <w:r>
        <w:rPr>
          <w:b/>
        </w:rPr>
        <w:t>Volume II – Standards</w:t>
        <w:br/>
      </w:r>
      <w:r>
        <w:t>STD-002 – Coding Standards</w:t>
        <w:br/>
        <w:t>Version 0.1.0 (Draft)</w:t>
      </w:r>
    </w:p>
    <w:p>
      <w:r>
        <w:br/>
      </w:r>
    </w:p>
    <w:p>
      <w:pPr>
        <w:jc w:val="center"/>
      </w:pPr>
      <w:r>
        <w:rPr>
          <w:i/>
        </w:rPr>
        <w:t>Controlled Engineering Standard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ID</w:t>
            </w:r>
          </w:p>
        </w:tc>
        <w:tc>
          <w:tcPr>
            <w:tcW w:type="dxa" w:w="4896"/>
          </w:tcPr>
          <w:p>
            <w:r>
              <w:t>STD-002</w:t>
            </w:r>
          </w:p>
        </w:tc>
      </w:tr>
      <w:tr>
        <w:tc>
          <w:tcPr>
            <w:tcW w:type="dxa" w:w="4896"/>
          </w:tcPr>
          <w:p>
            <w:r>
              <w:t>Title</w:t>
            </w:r>
          </w:p>
        </w:tc>
        <w:tc>
          <w:tcPr>
            <w:tcW w:type="dxa" w:w="4896"/>
          </w:tcPr>
          <w:p>
            <w:r>
              <w:t>Coding Standards</w:t>
            </w:r>
          </w:p>
        </w:tc>
      </w:tr>
      <w:tr>
        <w:tc>
          <w:tcPr>
            <w:tcW w:type="dxa" w:w="4896"/>
          </w:tcPr>
          <w:p>
            <w:r>
              <w:t>Volume</w:t>
            </w:r>
          </w:p>
        </w:tc>
        <w:tc>
          <w:tcPr>
            <w:tcW w:type="dxa" w:w="4896"/>
          </w:tcPr>
          <w:p>
            <w:r>
              <w:t>Volume II – Standards</w:t>
            </w:r>
          </w:p>
        </w:tc>
      </w:tr>
      <w:tr>
        <w:tc>
          <w:tcPr>
            <w:tcW w:type="dxa" w:w="4896"/>
          </w:tcPr>
          <w:p>
            <w:r>
              <w:t>Version</w:t>
            </w:r>
          </w:p>
        </w:tc>
        <w:tc>
          <w:tcPr>
            <w:tcW w:type="dxa" w:w="4896"/>
          </w:tcPr>
          <w:p>
            <w:r>
              <w:t>0.1.0</w:t>
            </w:r>
          </w:p>
        </w:tc>
      </w:tr>
      <w:tr>
        <w:tc>
          <w:tcPr>
            <w:tcW w:type="dxa" w:w="4896"/>
          </w:tcPr>
          <w:p>
            <w:r>
              <w:t>Status</w:t>
            </w:r>
          </w:p>
        </w:tc>
        <w:tc>
          <w:tcPr>
            <w:tcW w:type="dxa" w:w="4896"/>
          </w:tcPr>
          <w:p>
            <w:r>
              <w:t>Draft</w:t>
            </w:r>
          </w:p>
        </w:tc>
      </w:tr>
      <w:tr>
        <w:tc>
          <w:tcPr>
            <w:tcW w:type="dxa" w:w="4896"/>
          </w:tcPr>
          <w:p>
            <w:r>
              <w:t>Author</w:t>
            </w:r>
          </w:p>
        </w:tc>
        <w:tc>
          <w:tcPr>
            <w:tcW w:type="dxa" w:w="4896"/>
          </w:tcPr>
          <w:p>
            <w:r>
              <w:t>Denver Jacobs</w:t>
            </w:r>
          </w:p>
        </w:tc>
      </w:tr>
      <w:tr>
        <w:tc>
          <w:tcPr>
            <w:tcW w:type="dxa" w:w="4896"/>
          </w:tcPr>
          <w:p>
            <w:r>
              <w:t>Reviewers</w:t>
            </w:r>
          </w:p>
        </w:tc>
        <w:tc>
          <w:tcPr>
            <w:tcW w:type="dxa" w:w="4896"/>
          </w:tcPr>
          <w:p>
            <w:r>
              <w:t>TBD</w:t>
            </w:r>
          </w:p>
        </w:tc>
      </w:tr>
      <w:tr>
        <w:tc>
          <w:tcPr>
            <w:tcW w:type="dxa" w:w="4896"/>
          </w:tcPr>
          <w:p>
            <w:r>
              <w:t>Created</w:t>
            </w:r>
          </w:p>
        </w:tc>
        <w:tc>
          <w:tcPr>
            <w:tcW w:type="dxa" w:w="4896"/>
          </w:tcPr>
          <w:p>
            <w:r>
              <w:t>2026-07-09</w:t>
            </w:r>
          </w:p>
        </w:tc>
      </w:tr>
      <w:tr>
        <w:tc>
          <w:tcPr>
            <w:tcW w:type="dxa" w:w="4896"/>
          </w:tcPr>
          <w:p>
            <w:r>
              <w:t>Last Updated</w:t>
            </w:r>
          </w:p>
        </w:tc>
        <w:tc>
          <w:tcPr>
            <w:tcW w:type="dxa" w:w="4896"/>
          </w:tcPr>
          <w:p>
            <w:r>
              <w:t>2026-07-09</w:t>
            </w:r>
          </w:p>
        </w:tc>
      </w:tr>
      <w:tr>
        <w:tc>
          <w:tcPr>
            <w:tcW w:type="dxa" w:w="4896"/>
          </w:tcPr>
          <w:p>
            <w:r>
              <w:t>Classification</w:t>
            </w:r>
          </w:p>
        </w:tc>
        <w:tc>
          <w:tcPr>
            <w:tcW w:type="dxa" w:w="4896"/>
          </w:tcPr>
          <w:p>
            <w:r>
              <w:t>Public</w:t>
            </w:r>
          </w:p>
        </w:tc>
      </w:tr>
      <w:tr>
        <w:tc>
          <w:tcPr>
            <w:tcW w:type="dxa" w:w="4896"/>
          </w:tcPr>
          <w:p>
            <w:r>
              <w:t>Related Documents</w:t>
            </w:r>
          </w:p>
        </w:tc>
        <w:tc>
          <w:tcPr>
            <w:tcW w:type="dxa" w:w="4896"/>
          </w:tcPr>
          <w:p>
            <w:r>
              <w:t>GOV-003, GOV-004, GOV-006, GOV-009, GOV-010, STD-001</w:t>
            </w:r>
          </w:p>
        </w:tc>
      </w:tr>
    </w:tbl>
    <w:p>
      <w:pPr>
        <w:pStyle w:val="Heading1"/>
      </w:pPr>
      <w:r>
        <w:t>Revision History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Version</w:t>
            </w:r>
          </w:p>
        </w:tc>
        <w:tc>
          <w:tcPr>
            <w:tcW w:type="dxa" w:w="2448"/>
          </w:tcPr>
          <w:p>
            <w:r>
              <w:t>Date</w:t>
            </w:r>
          </w:p>
        </w:tc>
        <w:tc>
          <w:tcPr>
            <w:tcW w:type="dxa" w:w="2448"/>
          </w:tcPr>
          <w:p>
            <w:r>
              <w:t>Author</w:t>
            </w:r>
          </w:p>
        </w:tc>
        <w:tc>
          <w:tcPr>
            <w:tcW w:type="dxa" w:w="2448"/>
          </w:tcPr>
          <w:p>
            <w:r>
              <w:t>Description</w:t>
            </w:r>
          </w:p>
        </w:tc>
      </w:tr>
      <w:tr>
        <w:tc>
          <w:tcPr>
            <w:tcW w:type="dxa" w:w="2448"/>
          </w:tcPr>
          <w:p>
            <w:r>
              <w:t>0.1.0</w:t>
            </w:r>
          </w:p>
        </w:tc>
        <w:tc>
          <w:tcPr>
            <w:tcW w:type="dxa" w:w="2448"/>
          </w:tcPr>
          <w:p>
            <w:r>
              <w:t>2026-07-09</w:t>
            </w:r>
          </w:p>
        </w:tc>
        <w:tc>
          <w:tcPr>
            <w:tcW w:type="dxa" w:w="2448"/>
          </w:tcPr>
          <w:p>
            <w:r>
              <w:t>Denver Jacobs</w:t>
            </w:r>
          </w:p>
        </w:tc>
        <w:tc>
          <w:tcPr>
            <w:tcW w:type="dxa" w:w="2448"/>
          </w:tcPr>
          <w:p>
            <w:r>
              <w:t>Initial comprehensive draft</w:t>
            </w:r>
          </w:p>
        </w:tc>
      </w:tr>
    </w:tbl>
    <w:p>
      <w:pPr>
        <w:pStyle w:val="Heading1"/>
      </w:pPr>
      <w:r>
        <w:t>Approval Status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w:t>
            </w:r>
          </w:p>
        </w:tc>
        <w:tc>
          <w:tcPr>
            <w:tcW w:type="dxa" w:w="2448"/>
          </w:tcPr>
          <w:p>
            <w:r>
              <w:t>Status</w:t>
            </w:r>
          </w:p>
        </w:tc>
        <w:tc>
          <w:tcPr>
            <w:tcW w:type="dxa" w:w="2448"/>
          </w:tcPr>
          <w:p>
            <w:r>
              <w:t>Date</w:t>
            </w:r>
          </w:p>
        </w:tc>
      </w:tr>
      <w:tr>
        <w:tc>
          <w:tcPr>
            <w:tcW w:type="dxa" w:w="2448"/>
          </w:tcPr>
          <w:p>
            <w:r>
              <w:t>Author</w:t>
            </w:r>
          </w:p>
        </w:tc>
        <w:tc>
          <w:tcPr>
            <w:tcW w:type="dxa" w:w="2448"/>
          </w:tcPr>
          <w:p>
            <w:r>
              <w:t>Denver Jacobs</w:t>
            </w:r>
          </w:p>
        </w:tc>
        <w:tc>
          <w:tcPr>
            <w:tcW w:type="dxa" w:w="2448"/>
          </w:tcPr>
          <w:p>
            <w:r>
              <w:t>Drafted</w:t>
            </w:r>
          </w:p>
        </w:tc>
        <w:tc>
          <w:tcPr>
            <w:tcW w:type="dxa" w:w="2448"/>
          </w:tcPr>
          <w:p>
            <w:r>
              <w:t>2026-07-09</w:t>
            </w:r>
          </w:p>
        </w:tc>
      </w:tr>
      <w:tr>
        <w:tc>
          <w:tcPr>
            <w:tcW w:type="dxa" w:w="2448"/>
          </w:tcPr>
          <w:p>
            <w:r>
              <w:t>Technical Review</w:t>
            </w:r>
          </w:p>
        </w:tc>
        <w:tc>
          <w:tcPr>
            <w:tcW w:type="dxa" w:w="2448"/>
          </w:tcPr>
          <w:p>
            <w:r>
              <w:t>TBD</w:t>
            </w:r>
          </w:p>
        </w:tc>
        <w:tc>
          <w:tcPr>
            <w:tcW w:type="dxa" w:w="2448"/>
          </w:tcPr>
          <w:p>
            <w:r>
              <w:t>Pending</w:t>
            </w:r>
          </w:p>
        </w:tc>
        <w:tc>
          <w:tcPr>
            <w:tcW w:type="dxa" w:w="2448"/>
          </w:tcPr>
          <w:p>
            <w:r/>
          </w:p>
        </w:tc>
      </w:tr>
      <w:tr>
        <w:tc>
          <w:tcPr>
            <w:tcW w:type="dxa" w:w="2448"/>
          </w:tcPr>
          <w:p>
            <w:r>
              <w:t>Approval Authority</w:t>
            </w:r>
          </w:p>
        </w:tc>
        <w:tc>
          <w:tcPr>
            <w:tcW w:type="dxa" w:w="2448"/>
          </w:tcPr>
          <w:p>
            <w:r>
              <w:t>TBD</w:t>
            </w:r>
          </w:p>
        </w:tc>
        <w:tc>
          <w:tcPr>
            <w:tcW w:type="dxa" w:w="2448"/>
          </w:tcPr>
          <w:p>
            <w:r>
              <w:t>Pending</w:t>
            </w:r>
          </w:p>
        </w:tc>
        <w:tc>
          <w:tcPr>
            <w:tcW w:type="dxa" w:w="2448"/>
          </w:tcPr>
          <w:p>
            <w:r/>
          </w:p>
        </w:tc>
      </w:tr>
    </w:tbl>
    <w:p>
      <w:r>
        <w:br w:type="page"/>
      </w:r>
    </w:p>
    <w:p>
      <w:pPr>
        <w:pStyle w:val="Heading1"/>
      </w:pPr>
      <w:r>
        <w:t>1. Purpose</w:t>
      </w:r>
    </w:p>
    <w:p>
      <w:r>
        <w:t>Define mandatory coding requirements for SynapseOS source code so that human developers and AI coding agents produce secure, maintainable, testable, observable and replaceable software.</w:t>
      </w:r>
    </w:p>
    <w:p>
      <w:pPr>
        <w:pStyle w:val="Heading1"/>
      </w:pPr>
      <w:r>
        <w:t>2. Scope</w:t>
      </w:r>
    </w:p>
    <w:p>
      <w:r>
        <w:t>Applies to production code, libraries, services, CLI tools, SDKs, plugins, automation scripts, infrastructure code and generated code committed to SynapseOS repositories. Language-specific standards may extend but must not silently weaken this standard.</w:t>
      </w:r>
    </w:p>
    <w:p>
      <w:pPr>
        <w:pStyle w:val="Heading1"/>
      </w:pPr>
      <w:r>
        <w:t>3. Engineering Intent</w:t>
      </w:r>
    </w:p>
    <w:p>
      <w:r>
        <w:t>Code is an implementation of approved system intent, not the primary location for undocumented architecture. Prefer clarity over cleverness and explicit contracts over hidden behaviour.</w:t>
      </w:r>
    </w:p>
    <w:p>
      <w:pPr>
        <w:pStyle w:val="Heading1"/>
      </w:pPr>
      <w:r>
        <w:t>4. Core Rules</w:t>
      </w:r>
    </w:p>
    <w:p>
      <w:r>
        <w:t>• Keep modules cohesive and loosely coupled.</w:t>
        <w:br/>
        <w:t>• Depend on abstractions at architectural boundaries.</w:t>
        <w:br/>
        <w:t>• Avoid direct AI-vendor coupling outside provider adapters.</w:t>
        <w:br/>
        <w:t>• Make failure explicit.</w:t>
        <w:br/>
        <w:t>• Validate untrusted input.</w:t>
        <w:br/>
        <w:t>• Never hard-code secrets.</w:t>
        <w:br/>
        <w:t>• Keep changes small and reviewable.</w:t>
        <w:br/>
        <w:t>• Test behaviour, especially critical paths.</w:t>
        <w:br/>
        <w:t>• Preserve traceability to approved work.</w:t>
      </w:r>
    </w:p>
    <w:p>
      <w:pPr>
        <w:pStyle w:val="Heading1"/>
      </w:pPr>
      <w:r>
        <w:t>5. Architecture Compliance</w:t>
      </w:r>
    </w:p>
    <w:p>
      <w:r>
        <w:t>Code MUST conform to approved architecture, standards, ADRs and RFCs applicable to the change. If implementation reveals that the specification is wrong, update the controlled design through the governance process rather than silently diverging.</w:t>
      </w:r>
    </w:p>
    <w:p>
      <w:pPr>
        <w:pStyle w:val="Heading1"/>
      </w:pPr>
      <w:r>
        <w:t>6. Language Strategy</w:t>
      </w:r>
    </w:p>
    <w:p>
      <w:r>
        <w:t>SynapseOS is polyglot only where justified. Each additional language increases operational and maintenance cost. Language choice must consider safety, ecosystem maturity, deployment, performance, contributor accessibility and long-term support.</w:t>
      </w:r>
    </w:p>
    <w:p>
      <w:pPr>
        <w:pStyle w:val="Heading1"/>
      </w:pPr>
      <w:r>
        <w:t>7. Repository Hygiene</w:t>
      </w:r>
    </w:p>
    <w:p>
      <w:r>
        <w:t>Do not commit build artifacts, local caches, credentials, private keys, machine-specific configuration, temporary debug files or large unexplained binaries. Generated files must be clearly identified and reproducible where practical.</w:t>
      </w:r>
    </w:p>
    <w:p>
      <w:pPr>
        <w:pStyle w:val="Heading1"/>
      </w:pPr>
      <w:r>
        <w:t>8. Formatting</w:t>
      </w:r>
    </w:p>
    <w:p>
      <w:r>
        <w:t>Use automated formatters supported by the selected language ecosystem. Formatting rules SHOULD be enforced consistently in CI. Do not spend review time debating style that can be automated.</w:t>
      </w:r>
    </w:p>
    <w:p>
      <w:pPr>
        <w:pStyle w:val="Heading1"/>
      </w:pPr>
      <w:r>
        <w:t>9. Static Analysis and Linting</w:t>
      </w:r>
    </w:p>
    <w:p>
      <w:r>
        <w:t>Production repositories SHOULD enable appropriate compiler warnings, linters and static analysis. New high-severity findings must not be ignored without documented rationale.</w:t>
      </w:r>
    </w:p>
    <w:p>
      <w:pPr>
        <w:pStyle w:val="Heading1"/>
      </w:pPr>
      <w:r>
        <w:t>10. Naming</w:t>
      </w:r>
    </w:p>
    <w:p>
      <w:r>
        <w:t>Names must reveal intent. Avoid unexplained abbreviations and misleading generic names such as data, thing, manager or helper where a precise domain name exists. Public APIs require especially stable and descriptive naming.</w:t>
      </w:r>
    </w:p>
    <w:p>
      <w:pPr>
        <w:pStyle w:val="Heading1"/>
      </w:pPr>
      <w:r>
        <w:t>11. Functions and Methods</w:t>
      </w:r>
    </w:p>
    <w:p>
      <w:r>
        <w:t>Functions SHOULD have one clear responsibility, explicit inputs and understandable outputs. Avoid excessive parameter lists, hidden global dependencies and unexpected side effects.</w:t>
      </w:r>
    </w:p>
    <w:p>
      <w:pPr>
        <w:pStyle w:val="Heading1"/>
      </w:pPr>
      <w:r>
        <w:t>12. Classes, Types and Modules</w:t>
      </w:r>
    </w:p>
    <w:p>
      <w:r>
        <w:t>Types and modules SHOULD represent coherent responsibilities. God objects, circular dependencies and modules that accumulate unrelated behaviour are prohibited design smells requiring review.</w:t>
      </w:r>
    </w:p>
    <w:p>
      <w:pPr>
        <w:pStyle w:val="Heading1"/>
      </w:pPr>
      <w:r>
        <w:t>13. Interface Design</w:t>
      </w:r>
    </w:p>
    <w:p>
      <w:r>
        <w:t>Interfaces at subsystem boundaries must be minimal, explicit and versionable. Do not expose implementation details unnecessarily. Provider abstractions must describe capabilities rather than vendor-specific product terminology.</w:t>
      </w:r>
    </w:p>
    <w:p>
      <w:pPr>
        <w:pStyle w:val="Heading1"/>
      </w:pPr>
      <w:r>
        <w:t>14. Dependency Direction</w:t>
      </w:r>
    </w:p>
    <w:p>
      <w:r>
        <w:t>Core domain logic SHOULD NOT depend directly on UI frameworks, cloud vendors, AI vendors or infrastructure details. Use ports, adapters or equivalent separation where the architectural boundary warrants it.</w:t>
      </w:r>
    </w:p>
    <w:p>
      <w:pPr>
        <w:pStyle w:val="Heading1"/>
      </w:pPr>
      <w:r>
        <w:t>15. Dependency Management</w:t>
      </w:r>
    </w:p>
    <w:p>
      <w:r>
        <w:t>Every third-party dependency introduces supply-chain, licensing and maintenance risk. Before adding a significant dependency, assess necessity, maturity, maintenance, licence, security history, transitive dependencies and exit strategy.</w:t>
      </w:r>
    </w:p>
    <w:p>
      <w:pPr>
        <w:pStyle w:val="Heading1"/>
      </w:pPr>
      <w:r>
        <w:t>16. Version Pinning</w:t>
      </w:r>
    </w:p>
    <w:p>
      <w:r>
        <w:t>Dependencies SHOULD use reproducible version constraints appropriate to the ecosystem. Lockfiles SHOULD be committed when standard practice. Automated updates must still pass review and tests.</w:t>
      </w:r>
    </w:p>
    <w:p>
      <w:pPr>
        <w:pStyle w:val="Heading1"/>
      </w:pPr>
      <w:r>
        <w:t>17. Secrets</w:t>
      </w:r>
    </w:p>
    <w:p>
      <w:r>
        <w:t>Secrets MUST NOT appear in source code, examples, logs, test fixtures or committed configuration. Use approved secret-management mechanisms and environment-specific injection.</w:t>
      </w:r>
    </w:p>
    <w:p>
      <w:pPr>
        <w:pStyle w:val="Heading1"/>
      </w:pPr>
      <w:r>
        <w:t>18. Input Validation</w:t>
      </w:r>
    </w:p>
    <w:p>
      <w:r>
        <w:t>Treat external input as untrusted. Validate type, format, size, range, encoding and authorisation context as appropriate. Validation must occur at trust boundaries, not only in user interfaces.</w:t>
      </w:r>
    </w:p>
    <w:p>
      <w:pPr>
        <w:pStyle w:val="Heading1"/>
      </w:pPr>
      <w:r>
        <w:t>19. Output Encoding</w:t>
      </w:r>
    </w:p>
    <w:p>
      <w:r>
        <w:t>Output destined for HTML, shells, SQL, logs, URLs or other interpreters must be encoded or parameterised appropriately. Avoid string concatenation for security-sensitive interpreter contexts.</w:t>
      </w:r>
    </w:p>
    <w:p>
      <w:pPr>
        <w:pStyle w:val="Heading1"/>
      </w:pPr>
      <w:r>
        <w:t>20. Authentication and Authorisation</w:t>
      </w:r>
    </w:p>
    <w:p>
      <w:r>
        <w:t>Authentication establishes identity; authorisation determines permission. Code must not confuse the two. Sensitive operations require server-side or trusted-boundary enforcement.</w:t>
      </w:r>
    </w:p>
    <w:p>
      <w:pPr>
        <w:pStyle w:val="Heading1"/>
      </w:pPr>
      <w:r>
        <w:t>21. Least Privilege</w:t>
      </w:r>
    </w:p>
    <w:p>
      <w:r>
        <w:t>Services, plugins, agents and tools SHOULD receive only the permissions required for their task. Autonomous execution capabilities require explicit capability boundaries.</w:t>
      </w:r>
    </w:p>
    <w:p>
      <w:pPr>
        <w:pStyle w:val="Heading1"/>
      </w:pPr>
      <w:r>
        <w:t>22. AI and Agent Safety</w:t>
      </w:r>
    </w:p>
    <w:p>
      <w:r>
        <w:t>AI-generated instructions are untrusted input. Tool execution must enforce permissions independently of model output. High-impact actions should support approval gates, dry-run modes, idempotency and auditability where appropriate.</w:t>
      </w:r>
    </w:p>
    <w:p>
      <w:pPr>
        <w:pStyle w:val="Heading1"/>
      </w:pPr>
      <w:r>
        <w:t>23. Prompt Injection Resistance</w:t>
      </w:r>
    </w:p>
    <w:p>
      <w:r>
        <w:t>Content retrieved from users, websites, files, email or tools must not automatically become trusted system instruction. Boundaries between instructions, data and tool authority must be explicit.</w:t>
      </w:r>
    </w:p>
    <w:p>
      <w:pPr>
        <w:pStyle w:val="Heading1"/>
      </w:pPr>
      <w:r>
        <w:t>24. Error Handling</w:t>
      </w:r>
    </w:p>
    <w:p>
      <w:r>
        <w:t>Errors must be handled intentionally. Do not swallow exceptions silently. Error messages should provide actionable context without leaking secrets or sensitive internals.</w:t>
      </w:r>
    </w:p>
    <w:p>
      <w:pPr>
        <w:pStyle w:val="Heading1"/>
      </w:pPr>
      <w:r>
        <w:t>25. Error Taxonomy</w:t>
      </w:r>
    </w:p>
    <w:p>
      <w:r>
        <w:t>Where appropriate, distinguish validation errors, authentication failures, authorisation failures, dependency failures, transient errors, permanent errors, conflicts, timeouts and internal defects.</w:t>
      </w:r>
    </w:p>
    <w:p>
      <w:pPr>
        <w:pStyle w:val="Heading1"/>
      </w:pPr>
      <w:r>
        <w:t>26. Retries</w:t>
      </w:r>
    </w:p>
    <w:p>
      <w:r>
        <w:t>Retries require bounded attempts, backoff and awareness of idempotency. Never retry destructive or non-idempotent operations blindly.</w:t>
      </w:r>
    </w:p>
    <w:p>
      <w:pPr>
        <w:pStyle w:val="Heading1"/>
      </w:pPr>
      <w:r>
        <w:t>27. Timeouts</w:t>
      </w:r>
    </w:p>
    <w:p>
      <w:r>
        <w:t>External calls SHOULD have explicit timeouts. Infinite waits are prohibited for production dependencies unless formally justified.</w:t>
      </w:r>
    </w:p>
    <w:p>
      <w:pPr>
        <w:pStyle w:val="Heading1"/>
      </w:pPr>
      <w:r>
        <w:t>28. Cancellation</w:t>
      </w:r>
    </w:p>
    <w:p>
      <w:r>
        <w:t>Long-running operations SHOULD support cancellation or cooperative shutdown where the platform and language permit.</w:t>
      </w:r>
    </w:p>
    <w:p>
      <w:pPr>
        <w:pStyle w:val="Heading1"/>
      </w:pPr>
      <w:r>
        <w:t>29. Resource Management</w:t>
      </w:r>
    </w:p>
    <w:p>
      <w:r>
        <w:t>Files, sockets, database connections, locks and other resources must be released deterministically where practical. Use language-native safe resource patterns.</w:t>
      </w:r>
    </w:p>
    <w:p>
      <w:pPr>
        <w:pStyle w:val="Heading1"/>
      </w:pPr>
      <w:r>
        <w:t>30. Concurrency</w:t>
      </w:r>
    </w:p>
    <w:p>
      <w:r>
        <w:t>Shared mutable state requires explicit design. Race conditions, deadlocks and ordering assumptions must be considered and tested. Prefer simpler concurrency models when performance does not justify complexity.</w:t>
      </w:r>
    </w:p>
    <w:p>
      <w:pPr>
        <w:pStyle w:val="Heading1"/>
      </w:pPr>
      <w:r>
        <w:t>31. Data Integrity</w:t>
      </w:r>
    </w:p>
    <w:p>
      <w:r>
        <w:t>Changes affecting durable state SHOULD define transaction boundaries, consistency expectations, failure behaviour and recovery. Never assume a distributed workflow is atomic.</w:t>
      </w:r>
    </w:p>
    <w:p>
      <w:pPr>
        <w:pStyle w:val="Heading1"/>
      </w:pPr>
      <w:r>
        <w:t>32. Idempotency</w:t>
      </w:r>
    </w:p>
    <w:p>
      <w:r>
        <w:t>Operations likely to be retried, replayed or delivered more than once SHOULD be idempotent or use explicit deduplication mechanisms.</w:t>
      </w:r>
    </w:p>
    <w:p>
      <w:pPr>
        <w:pStyle w:val="Heading1"/>
      </w:pPr>
      <w:r>
        <w:t>33. Logging</w:t>
      </w:r>
    </w:p>
    <w:p>
      <w:r>
        <w:t>Use structured logging where practical. Logs must include useful context and correlation identifiers but must not expose secrets, access tokens or unnecessary personal data.</w:t>
      </w:r>
    </w:p>
    <w:p>
      <w:pPr>
        <w:pStyle w:val="Heading1"/>
      </w:pPr>
      <w:r>
        <w:t>34. Observability</w:t>
      </w:r>
    </w:p>
    <w:p>
      <w:r>
        <w:t>Critical components SHOULD expose health, metrics and trace context appropriate to their role. Observability must be designed, not added only after incidents.</w:t>
      </w:r>
    </w:p>
    <w:p>
      <w:pPr>
        <w:pStyle w:val="Heading1"/>
      </w:pPr>
      <w:r>
        <w:t>35. Comments</w:t>
      </w:r>
    </w:p>
    <w:p>
      <w:r>
        <w:t>Comments explain why, constraints or non-obvious consequences. Do not restate obvious code. Stale comments are defects.</w:t>
      </w:r>
    </w:p>
    <w:p>
      <w:pPr>
        <w:pStyle w:val="Heading1"/>
      </w:pPr>
      <w:r>
        <w:t>36. Documentation Comments</w:t>
      </w:r>
    </w:p>
    <w:p>
      <w:r>
        <w:t>Public APIs and extension points SHOULD document purpose, parameters, outputs, errors, side effects, security expectations and stability where relevant.</w:t>
      </w:r>
    </w:p>
    <w:p>
      <w:pPr>
        <w:pStyle w:val="Heading1"/>
      </w:pPr>
      <w:r>
        <w:t>37. Magic Values</w:t>
      </w:r>
    </w:p>
    <w:p>
      <w:r>
        <w:t>Unexplained magic numbers and strings SHOULD be replaced with named constants, configuration or domain types when doing so improves clarity.</w:t>
      </w:r>
    </w:p>
    <w:p>
      <w:pPr>
        <w:pStyle w:val="Heading1"/>
      </w:pPr>
      <w:r>
        <w:t>38. Configuration</w:t>
      </w:r>
    </w:p>
    <w:p>
      <w:r>
        <w:t>Environment-specific behaviour belongs in controlled configuration, not source edits. Configuration must be validated at startup or before use.</w:t>
      </w:r>
    </w:p>
    <w:p>
      <w:pPr>
        <w:pStyle w:val="Heading1"/>
      </w:pPr>
      <w:r>
        <w:t>39. Feature Flags</w:t>
      </w:r>
    </w:p>
    <w:p>
      <w:r>
        <w:t>Feature flags require ownership and removal plans. Permanent forgotten flags create hidden complexity and must be treated as technical debt.</w:t>
      </w:r>
    </w:p>
    <w:p>
      <w:pPr>
        <w:pStyle w:val="Heading1"/>
      </w:pPr>
      <w:r>
        <w:t>40. Backward Compatibility</w:t>
      </w:r>
    </w:p>
    <w:p>
      <w:r>
        <w:t>Public contracts must not be broken casually. Breaking changes require explicit versioning, migration guidance and approval according to release strategy.</w:t>
      </w:r>
    </w:p>
    <w:p>
      <w:pPr>
        <w:pStyle w:val="Heading1"/>
      </w:pPr>
      <w:r>
        <w:t>41. Deprecation</w:t>
      </w:r>
    </w:p>
    <w:p>
      <w:r>
        <w:t>Deprecated APIs should identify replacement guidance and expected removal path. Do not leave consumers without a migration route when one is feasible.</w:t>
      </w:r>
    </w:p>
    <w:p>
      <w:pPr>
        <w:pStyle w:val="Heading1"/>
      </w:pPr>
      <w:r>
        <w:t>42. Database Code</w:t>
      </w:r>
    </w:p>
    <w:p>
      <w:r>
        <w:t>Use parameterised queries or safe ORM mechanisms. Schema changes require migration and rollback/forward-recovery consideration. Production data assumptions must be explicit.</w:t>
      </w:r>
    </w:p>
    <w:p>
      <w:pPr>
        <w:pStyle w:val="Heading1"/>
      </w:pPr>
      <w:r>
        <w:t>43. API Code</w:t>
      </w:r>
    </w:p>
    <w:p>
      <w:r>
        <w:t>Validate requests, enforce authorisation, use stable error contracts, define timeouts and protect against unbounded payloads. API behaviour must match approved API standards when established.</w:t>
      </w:r>
    </w:p>
    <w:p>
      <w:pPr>
        <w:pStyle w:val="Heading1"/>
      </w:pPr>
      <w:r>
        <w:t>44. Plugin Code</w:t>
      </w:r>
    </w:p>
    <w:p>
      <w:r>
        <w:t>Plugins must not receive unrestricted platform authority by default. Plugin lifecycle, capabilities, compatibility and failure isolation must follow approved architecture.</w:t>
      </w:r>
    </w:p>
    <w:p>
      <w:pPr>
        <w:pStyle w:val="Heading1"/>
      </w:pPr>
      <w:r>
        <w:t>45. Provider Adapter Code</w:t>
      </w:r>
    </w:p>
    <w:p>
      <w:r>
        <w:t>AI provider-specific SDKs, request formats and product names SHOULD remain inside provider adapters. Core modules consume provider-neutral contracts.</w:t>
      </w:r>
    </w:p>
    <w:p>
      <w:pPr>
        <w:pStyle w:val="Heading1"/>
      </w:pPr>
      <w:r>
        <w:t>46. Generated Code</w:t>
      </w:r>
    </w:p>
    <w:p>
      <w:r>
        <w:t>Generated code must identify its generator or provenance where practical. Generated output is not exempt from security, licensing, testing or review requirements.</w:t>
      </w:r>
    </w:p>
    <w:p>
      <w:pPr>
        <w:pStyle w:val="Heading1"/>
      </w:pPr>
      <w:r>
        <w:t>47. AI-Generated Code</w:t>
      </w:r>
    </w:p>
    <w:p>
      <w:r>
        <w:t>Code produced by Claude Code, ChatGPT or other AI tools is treated as untrusted draft implementation until reviewed and tested. AI must not invent passing tests, completed security reviews or unsupported APIs.</w:t>
      </w:r>
    </w:p>
    <w:p>
      <w:pPr>
        <w:pStyle w:val="Heading1"/>
      </w:pPr>
      <w:r>
        <w:t>48. Testability</w:t>
      </w:r>
    </w:p>
    <w:p>
      <w:r>
        <w:t>Design dependencies so that critical behaviour can be tested without uncontrolled external services. Avoid architecture that makes deterministic testing unnecessarily difficult.</w:t>
      </w:r>
    </w:p>
    <w:p>
      <w:pPr>
        <w:pStyle w:val="Heading1"/>
      </w:pPr>
      <w:r>
        <w:t>49. Unit Tests</w:t>
      </w:r>
    </w:p>
    <w:p>
      <w:r>
        <w:t>Unit tests SHOULD be fast, isolated and focused on observable behaviour. Avoid tests that merely duplicate implementation details.</w:t>
      </w:r>
    </w:p>
    <w:p>
      <w:pPr>
        <w:pStyle w:val="Heading1"/>
      </w:pPr>
      <w:r>
        <w:t>50. Integration Tests</w:t>
      </w:r>
    </w:p>
    <w:p>
      <w:r>
        <w:t>Use integration tests for boundaries such as databases, event buses, provider adapters, file systems and service contracts.</w:t>
      </w:r>
    </w:p>
    <w:p>
      <w:pPr>
        <w:pStyle w:val="Heading1"/>
      </w:pPr>
      <w:r>
        <w:t>51. Security Tests</w:t>
      </w:r>
    </w:p>
    <w:p>
      <w:r>
        <w:t>Security-sensitive code requires tests for denied paths, invalid input and abuse cases, not only successful behaviour.</w:t>
      </w:r>
    </w:p>
    <w:p>
      <w:pPr>
        <w:pStyle w:val="Heading1"/>
      </w:pPr>
      <w:r>
        <w:t>52. Determinism</w:t>
      </w:r>
    </w:p>
    <w:p>
      <w:r>
        <w:t>Tests SHOULD avoid uncontrolled time, randomness, network access and global state. Inject clocks, random sources and external clients where justified.</w:t>
      </w:r>
    </w:p>
    <w:p>
      <w:pPr>
        <w:pStyle w:val="Heading1"/>
      </w:pPr>
      <w:r>
        <w:t>53. Performance</w:t>
      </w:r>
    </w:p>
    <w:p>
      <w:r>
        <w:t>Do not optimise without evidence. Performance-sensitive code should define measurable targets and use representative benchmarks.</w:t>
      </w:r>
    </w:p>
    <w:p>
      <w:pPr>
        <w:pStyle w:val="Heading1"/>
      </w:pPr>
      <w:r>
        <w:t>54. Complexity</w:t>
      </w:r>
    </w:p>
    <w:p>
      <w:r>
        <w:t>Complexity must earn its cost. Prefer standard library capabilities and straightforward designs over custom frameworks unless requirements justify them.</w:t>
      </w:r>
    </w:p>
    <w:p>
      <w:pPr>
        <w:pStyle w:val="Heading1"/>
      </w:pPr>
      <w:r>
        <w:t>55. Duplication</w:t>
      </w:r>
    </w:p>
    <w:p>
      <w:r>
        <w:t>Avoid harmful duplication, but do not create premature abstractions merely to remove a few repeated lines. Abstract when concepts are genuinely shared.</w:t>
      </w:r>
    </w:p>
    <w:p>
      <w:pPr>
        <w:pStyle w:val="Heading1"/>
      </w:pPr>
      <w:r>
        <w:t>56. Dead Code</w:t>
      </w:r>
    </w:p>
    <w:p>
      <w:r>
        <w:t>Remove dead code rather than commenting it out. Version control preserves history.</w:t>
      </w:r>
    </w:p>
    <w:p>
      <w:pPr>
        <w:pStyle w:val="Heading1"/>
      </w:pPr>
      <w:r>
        <w:t>57. TODO Markers</w:t>
      </w:r>
    </w:p>
    <w:p>
      <w:r>
        <w:t>TODO/FIXME markers SHOULD include sufficient context and, where practical, an issue or owner. Security-critical TODOs must not be forgotten in production.</w:t>
      </w:r>
    </w:p>
    <w:p>
      <w:pPr>
        <w:pStyle w:val="Heading1"/>
      </w:pPr>
      <w:r>
        <w:t>58. Commit Scope</w:t>
      </w:r>
    </w:p>
    <w:p>
      <w:r>
        <w:t>A code change SHOULD have a coherent purpose. Avoid mixing unrelated refactors, formatting and feature behaviour when separation improves review.</w:t>
      </w:r>
    </w:p>
    <w:p>
      <w:pPr>
        <w:pStyle w:val="Heading1"/>
      </w:pPr>
      <w:r>
        <w:t>59. Code Review Readiness</w:t>
      </w:r>
    </w:p>
    <w:p>
      <w:r>
        <w:t>Before requesting review: format code, run relevant tests, inspect the diff, remove debug artifacts, update documentation and identify known risks.</w:t>
      </w:r>
    </w:p>
    <w:p>
      <w:pPr>
        <w:pStyle w:val="Heading1"/>
      </w:pPr>
      <w:r>
        <w:t>60. Definition of Done</w:t>
      </w:r>
    </w:p>
    <w:p>
      <w:r>
        <w:t>A change is complete only when applicable implementation, tests, documentation, review, security considerations and traceability obligations are satisfied.</w:t>
      </w:r>
    </w:p>
    <w:p>
      <w:pPr>
        <w:pStyle w:val="Heading1"/>
      </w:pPr>
      <w:r>
        <w:t>61. Prohibited Practices</w:t>
      </w:r>
    </w:p>
    <w:p>
      <w:r>
        <w:t>• Hard-coded production secrets.</w:t>
        <w:br/>
        <w:t>• Silent exception swallowing.</w:t>
        <w:br/>
        <w:t>• Disabling security checks to make tests pass.</w:t>
        <w:br/>
        <w:t>• Fabricating test results.</w:t>
        <w:br/>
        <w:t>• Direct vendor coupling across core modules without approval.</w:t>
        <w:br/>
        <w:t>• Unbounded retries.</w:t>
        <w:br/>
        <w:t>• Logging credentials or tokens.</w:t>
        <w:br/>
        <w:t>• Executing model-generated commands without independent controls.</w:t>
        <w:br/>
        <w:t>• Committing knowingly vulnerable dependencies without explicit risk acceptance.</w:t>
      </w:r>
    </w:p>
    <w:p>
      <w:pPr>
        <w:pStyle w:val="Heading1"/>
      </w:pPr>
      <w:r>
        <w:t>62. Exceptions</w:t>
      </w:r>
    </w:p>
    <w:p>
      <w:r>
        <w:t>Exceptions require documented rationale proportional to impact. Repeated exceptions indicate that the standard or architecture may need revision.</w:t>
      </w:r>
    </w:p>
    <w:p>
      <w:pPr>
        <w:pStyle w:val="Heading1"/>
      </w:pPr>
      <w:r>
        <w:t>63. Compliance</w:t>
      </w:r>
    </w:p>
    <w:p>
      <w:r>
        <w:t>New production code SHALL comply after approval of STD-002. Existing code SHOULD be migrated incrementally, prioritising security-critical and actively modified areas.</w:t>
      </w:r>
    </w:p>
    <w:p>
      <w:pPr>
        <w:pStyle w:val="Heading1"/>
      </w:pPr>
      <w:r>
        <w:t>64. Success Criteria</w:t>
      </w:r>
    </w:p>
    <w:p>
      <w:r>
        <w:t>The standard succeeds when SynapseOS code remains understandable, secure, testable, replaceable and maintainable even as AI models, contributors and technologies change.</w:t>
      </w:r>
    </w:p>
    <w:p>
      <w:pPr>
        <w:pStyle w:val="Heading1"/>
      </w:pPr>
      <w:r>
        <w:t>65. Open Questions</w:t>
      </w:r>
    </w:p>
    <w:p>
      <w:r>
        <w:t>• Which language will implement SynapseOS Core?</w:t>
        <w:br/>
        <w:t>• Which linters and formatters become mandatory per language?</w:t>
        <w:br/>
        <w:t>• What minimum coverage or mutation-testing thresholds are appropriate?</w:t>
        <w:br/>
        <w:t>• Which security scanners become CI quality gates?</w:t>
        <w:br/>
        <w:t>• How will AI-generated code provenance be recorded?</w:t>
      </w:r>
    </w:p>
    <w:p>
      <w:pPr>
        <w:pStyle w:val="Heading1"/>
      </w:pPr>
      <w:r>
        <w:t>66. References</w:t>
      </w:r>
    </w:p>
    <w:p>
      <w:r>
        <w:t>Internal:</w:t>
        <w:br/>
        <w:t>• GOV-004 – Engineering Principles</w:t>
        <w:br/>
        <w:t>• GOV-006 – Technical Strategy</w:t>
        <w:br/>
        <w:t>• GOV-009 – Risk Management</w:t>
        <w:br/>
        <w:t>• GOV-010 – Decision Framework</w:t>
        <w:br/>
        <w:t>• STD-001 – Documentation Standards</w:t>
      </w:r>
    </w:p>
    <w:p>
      <w:r>
        <w:t>External authoritative references may be added during formal review and language selection.</w:t>
      </w:r>
    </w:p>
    <w:p>
      <w:pPr>
        <w:pStyle w:val="Heading1"/>
      </w:pPr>
      <w:r>
        <w:t>Appendix A – Pre-Commit Checklist</w:t>
      </w:r>
    </w:p>
    <w:p>
      <w:r>
        <w:t>□ Change has a coherent purpose</w:t>
      </w:r>
    </w:p>
    <w:p>
      <w:r>
        <w:t>□ Code formatted with approved tooling</w:t>
      </w:r>
    </w:p>
    <w:p>
      <w:r>
        <w:t>□ Relevant lint/static checks pass</w:t>
      </w:r>
    </w:p>
    <w:p>
      <w:r>
        <w:t>□ Relevant tests pass</w:t>
      </w:r>
    </w:p>
    <w:p>
      <w:r>
        <w:t>□ No secrets or debug artifacts included</w:t>
      </w:r>
    </w:p>
    <w:p>
      <w:r>
        <w:t>□ Error paths considered</w:t>
      </w:r>
    </w:p>
    <w:p>
      <w:r>
        <w:t>□ Security-sensitive input validated</w:t>
      </w:r>
    </w:p>
    <w:p>
      <w:r>
        <w:t>□ Documentation updated where behaviour changed</w:t>
      </w:r>
    </w:p>
    <w:p>
      <w:r>
        <w:t>□ Dependencies justified and reviewed</w:t>
      </w:r>
    </w:p>
    <w:p>
      <w:r>
        <w:t>□ Diff inspected by the author/implementer</w:t>
      </w:r>
    </w:p>
    <w:p>
      <w:pPr>
        <w:pStyle w:val="Heading1"/>
      </w:pPr>
      <w:r>
        <w:t>Appendix B – AI-Generated Code Review Checklist</w:t>
      </w:r>
    </w:p>
    <w:p>
      <w:r>
        <w:t>□ Referenced APIs and library versions actually exist</w:t>
      </w:r>
    </w:p>
    <w:p>
      <w:r>
        <w:t>□ Code matches approved architecture/RFC</w:t>
      </w:r>
    </w:p>
    <w:p>
      <w:r>
        <w:t>□ No fabricated tests or claims</w:t>
      </w:r>
    </w:p>
    <w:p>
      <w:r>
        <w:t>□ Authentication and authorisation paths reviewed</w:t>
      </w:r>
    </w:p>
    <w:p>
      <w:r>
        <w:t>□ Input boundaries validated</w:t>
      </w:r>
    </w:p>
    <w:p>
      <w:r>
        <w:t>□ Secrets handling reviewed</w:t>
      </w:r>
    </w:p>
    <w:p>
      <w:r>
        <w:t>□ Failure, timeout and retry behaviour reviewed</w:t>
      </w:r>
    </w:p>
    <w:p>
      <w:r>
        <w:t>□ Concurrency assumptions reviewed where applicable</w:t>
      </w:r>
    </w:p>
    <w:p>
      <w:r>
        <w:t>□ Tests include negative and abuse cases</w:t>
      </w:r>
    </w:p>
    <w:p>
      <w:r>
        <w:t>□ Human reviewer understands the change before approval</w:t>
      </w:r>
    </w:p>
    <w:p>
      <w:pPr>
        <w:pStyle w:val="Heading1"/>
      </w:pPr>
      <w:r>
        <w:t>Appendix C – Pull Request Coding Gate</w:t>
      </w:r>
    </w:p>
    <w:tbl>
      <w:tblPr>
        <w:tblStyle w:val="TableGrid"/>
        <w:tblW w:type="auto" w:w="0"/>
        <w:tblLook w:firstColumn="1" w:firstRow="1" w:lastColumn="0" w:lastRow="0" w:noHBand="0" w:noVBand="1" w:val="04A0"/>
      </w:tblPr>
      <w:tblGrid>
        <w:gridCol w:w="3264"/>
        <w:gridCol w:w="3264"/>
        <w:gridCol w:w="3264"/>
      </w:tblGrid>
      <w:tr>
        <w:tc>
          <w:tcPr>
            <w:tcW w:type="dxa" w:w="3264"/>
          </w:tcPr>
          <w:p>
            <w:r>
              <w:t>Gate</w:t>
            </w:r>
          </w:p>
        </w:tc>
        <w:tc>
          <w:tcPr>
            <w:tcW w:type="dxa" w:w="3264"/>
          </w:tcPr>
          <w:p>
            <w:r>
              <w:t>Required</w:t>
            </w:r>
          </w:p>
        </w:tc>
        <w:tc>
          <w:tcPr>
            <w:tcW w:type="dxa" w:w="3264"/>
          </w:tcPr>
          <w:p>
            <w:r>
              <w:t>Evidence</w:t>
            </w:r>
          </w:p>
        </w:tc>
      </w:tr>
      <w:tr>
        <w:tc>
          <w:tcPr>
            <w:tcW w:type="dxa" w:w="3264"/>
          </w:tcPr>
          <w:p>
            <w:r>
              <w:t>Formatting</w:t>
            </w:r>
          </w:p>
        </w:tc>
        <w:tc>
          <w:tcPr>
            <w:tcW w:type="dxa" w:w="3264"/>
          </w:tcPr>
          <w:p>
            <w:r>
              <w:t>Yes</w:t>
            </w:r>
          </w:p>
        </w:tc>
        <w:tc>
          <w:tcPr>
            <w:tcW w:type="dxa" w:w="3264"/>
          </w:tcPr>
          <w:p>
            <w:r>
              <w:t>Automated formatter</w:t>
            </w:r>
          </w:p>
        </w:tc>
      </w:tr>
      <w:tr>
        <w:tc>
          <w:tcPr>
            <w:tcW w:type="dxa" w:w="3264"/>
          </w:tcPr>
          <w:p>
            <w:r>
              <w:t>Lint/Static Analysis</w:t>
            </w:r>
          </w:p>
        </w:tc>
        <w:tc>
          <w:tcPr>
            <w:tcW w:type="dxa" w:w="3264"/>
          </w:tcPr>
          <w:p>
            <w:r>
              <w:t>Yes where configured</w:t>
            </w:r>
          </w:p>
        </w:tc>
        <w:tc>
          <w:tcPr>
            <w:tcW w:type="dxa" w:w="3264"/>
          </w:tcPr>
          <w:p>
            <w:r>
              <w:t>CI result</w:t>
            </w:r>
          </w:p>
        </w:tc>
      </w:tr>
      <w:tr>
        <w:tc>
          <w:tcPr>
            <w:tcW w:type="dxa" w:w="3264"/>
          </w:tcPr>
          <w:p>
            <w:r>
              <w:t>Tests</w:t>
            </w:r>
          </w:p>
        </w:tc>
        <w:tc>
          <w:tcPr>
            <w:tcW w:type="dxa" w:w="3264"/>
          </w:tcPr>
          <w:p>
            <w:r>
              <w:t>Yes</w:t>
            </w:r>
          </w:p>
        </w:tc>
        <w:tc>
          <w:tcPr>
            <w:tcW w:type="dxa" w:w="3264"/>
          </w:tcPr>
          <w:p>
            <w:r>
              <w:t>CI/local evidence</w:t>
            </w:r>
          </w:p>
        </w:tc>
      </w:tr>
      <w:tr>
        <w:tc>
          <w:tcPr>
            <w:tcW w:type="dxa" w:w="3264"/>
          </w:tcPr>
          <w:p>
            <w:r>
              <w:t>Documentation</w:t>
            </w:r>
          </w:p>
        </w:tc>
        <w:tc>
          <w:tcPr>
            <w:tcW w:type="dxa" w:w="3264"/>
          </w:tcPr>
          <w:p>
            <w:r>
              <w:t>When behaviour/contracts change</w:t>
            </w:r>
          </w:p>
        </w:tc>
        <w:tc>
          <w:tcPr>
            <w:tcW w:type="dxa" w:w="3264"/>
          </w:tcPr>
          <w:p>
            <w:r>
              <w:t>Updated controlled docs</w:t>
            </w:r>
          </w:p>
        </w:tc>
      </w:tr>
      <w:tr>
        <w:tc>
          <w:tcPr>
            <w:tcW w:type="dxa" w:w="3264"/>
          </w:tcPr>
          <w:p>
            <w:r>
              <w:t>Security Review</w:t>
            </w:r>
          </w:p>
        </w:tc>
        <w:tc>
          <w:tcPr>
            <w:tcW w:type="dxa" w:w="3264"/>
          </w:tcPr>
          <w:p>
            <w:r>
              <w:t>Risk-based</w:t>
            </w:r>
          </w:p>
        </w:tc>
        <w:tc>
          <w:tcPr>
            <w:tcW w:type="dxa" w:w="3264"/>
          </w:tcPr>
          <w:p>
            <w:r>
              <w:t>Reviewer evidence</w:t>
            </w:r>
          </w:p>
        </w:tc>
      </w:tr>
      <w:tr>
        <w:tc>
          <w:tcPr>
            <w:tcW w:type="dxa" w:w="3264"/>
          </w:tcPr>
          <w:p>
            <w:r>
              <w:t>Traceability</w:t>
            </w:r>
          </w:p>
        </w:tc>
        <w:tc>
          <w:tcPr>
            <w:tcW w:type="dxa" w:w="3264"/>
          </w:tcPr>
          <w:p>
            <w:r>
              <w:t>For governed work</w:t>
            </w:r>
          </w:p>
        </w:tc>
        <w:tc>
          <w:tcPr>
            <w:tcW w:type="dxa" w:w="3264"/>
          </w:tcPr>
          <w:p>
            <w:r>
              <w:t>ARCH/RFC/ADR references</w:t>
            </w:r>
          </w:p>
        </w:tc>
      </w:tr>
    </w:tbl>
    <w:p>
      <w:pPr>
        <w:pStyle w:val="Heading1"/>
      </w:pPr>
      <w:r>
        <w:t>Revision History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Version</w:t>
            </w:r>
          </w:p>
        </w:tc>
        <w:tc>
          <w:tcPr>
            <w:tcW w:type="dxa" w:w="2448"/>
          </w:tcPr>
          <w:p>
            <w:r>
              <w:t>Date</w:t>
            </w:r>
          </w:p>
        </w:tc>
        <w:tc>
          <w:tcPr>
            <w:tcW w:type="dxa" w:w="2448"/>
          </w:tcPr>
          <w:p>
            <w:r>
              <w:t>Author</w:t>
            </w:r>
          </w:p>
        </w:tc>
        <w:tc>
          <w:tcPr>
            <w:tcW w:type="dxa" w:w="2448"/>
          </w:tcPr>
          <w:p>
            <w:r>
              <w:t>Description</w:t>
            </w:r>
          </w:p>
        </w:tc>
      </w:tr>
      <w:tr>
        <w:tc>
          <w:tcPr>
            <w:tcW w:type="dxa" w:w="2448"/>
          </w:tcPr>
          <w:p>
            <w:r>
              <w:t>0.1.0</w:t>
            </w:r>
          </w:p>
        </w:tc>
        <w:tc>
          <w:tcPr>
            <w:tcW w:type="dxa" w:w="2448"/>
          </w:tcPr>
          <w:p>
            <w:r>
              <w:t>2026-07-09</w:t>
            </w:r>
          </w:p>
        </w:tc>
        <w:tc>
          <w:tcPr>
            <w:tcW w:type="dxa" w:w="2448"/>
          </w:tcPr>
          <w:p>
            <w:r>
              <w:t>Denver Jacobs</w:t>
            </w:r>
          </w:p>
        </w:tc>
        <w:tc>
          <w:tcPr>
            <w:tcW w:type="dxa" w:w="2448"/>
          </w:tcPr>
          <w:p>
            <w:r>
              <w:t>Initial comprehensive draft</w:t>
            </w:r>
          </w:p>
        </w:tc>
      </w:tr>
    </w:tbl>
    <w:p>
      <w:pPr>
        <w:pStyle w:val="Heading1"/>
      </w:pPr>
      <w:r>
        <w:t>Approval</w:t>
      </w:r>
    </w:p>
    <w:p>
      <w:r>
        <w:t>Author: Denver Jacobs ____________________  Date: __________</w:t>
        <w:br/>
        <w:br/>
        <w:t>Technical Review: _______________________  Date: __________</w:t>
        <w:br/>
        <w:br/>
        <w:t>Approved By: ___________________________  Date: 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