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STD-006 – Naming Conventions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STD-006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Naming Conventions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GOV-010, STD-001 through STD-005</w:t>
            </w:r>
          </w:p>
        </w:tc>
      </w:tr>
    </w:tbl>
    <w:p>
      <w:pPr>
        <w:pStyle w:val="Heading1"/>
      </w:pPr>
      <w:r>
        <w:t>1. Purpose</w:t>
      </w:r>
    </w:p>
    <w:p>
      <w:r>
        <w:t>Define consistent naming rules across SynapseOS documentation, repositories, branches, source code, APIs, configuration, events, databases, plugins, AI providers and operational assets.</w:t>
      </w:r>
    </w:p>
    <w:p>
      <w:pPr>
        <w:pStyle w:val="Heading1"/>
      </w:pPr>
      <w:r>
        <w:t>2. Scope</w:t>
      </w:r>
    </w:p>
    <w:p>
      <w:r>
        <w:t>Applies to official SynapseOS artifacts. Language-specific idioms may extend this standard where documented, but shared public contracts must remain consistent.</w:t>
      </w:r>
    </w:p>
    <w:p>
      <w:pPr>
        <w:pStyle w:val="Heading1"/>
      </w:pPr>
      <w:r>
        <w:t>3. Objectives</w:t>
      </w:r>
    </w:p>
    <w:p>
      <w:r>
        <w:t>Names should communicate intent, reduce ambiguity, improve searchability, support automation and remain understandable to future human and AI maintainers.</w:t>
      </w:r>
    </w:p>
    <w:p>
      <w:pPr>
        <w:pStyle w:val="Heading1"/>
      </w:pPr>
      <w:r>
        <w:t>4. Core Principles</w:t>
      </w:r>
    </w:p>
    <w:p>
      <w:r>
        <w:t>• Prefer clarity over brevity.</w:t>
        <w:br/>
        <w:t>• Use domain language consistently.</w:t>
        <w:br/>
        <w:t>• One concept should have one preferred name.</w:t>
        <w:br/>
        <w:t>• Avoid unexplained abbreviations.</w:t>
        <w:br/>
        <w:t>• Avoid names tied unnecessarily to a vendor.</w:t>
        <w:br/>
        <w:t>• Public names require greater stability than local names.</w:t>
        <w:br/>
        <w:t>• Do not encode temporary implementation details into durable contracts.</w:t>
      </w:r>
    </w:p>
    <w:p>
      <w:pPr>
        <w:pStyle w:val="Heading1"/>
      </w:pPr>
      <w:r>
        <w:t>5. Canonical Product Name</w:t>
      </w:r>
    </w:p>
    <w:p>
      <w:r>
        <w:t>The project name is SynapseOS. Use this exact capitalisation in prose and branding unless a technical identifier requires another form.</w:t>
      </w:r>
    </w:p>
    <w:p>
      <w:pPr>
        <w:pStyle w:val="Heading1"/>
      </w:pPr>
      <w:r>
        <w:t>6. Technical Identifier Forms</w:t>
      </w:r>
    </w:p>
    <w:p>
      <w:r>
        <w:t>Prose/brand: SynapseOS</w:t>
        <w:br/>
        <w:t>Lowercase namespace: synapseos where required</w:t>
        <w:br/>
        <w:t>Repository prefix: synapse-</w:t>
        <w:br/>
        <w:t>Environment variable prefix: SYNAPSE_</w:t>
        <w:br/>
        <w:t>Package namespace: determined per ecosystem and recorded before publication</w:t>
      </w:r>
    </w:p>
    <w:p>
      <w:pPr>
        <w:pStyle w:val="Heading1"/>
      </w:pPr>
      <w:r>
        <w:t>7. Controlled Document IDs</w:t>
      </w:r>
    </w:p>
    <w:p>
      <w:r>
        <w:t>Use uppercase family prefixes and permanent zero-padded numbers: GOV-001, STD-006, ARCH-000, RFC-0001, ADR-0001.</w:t>
      </w:r>
    </w:p>
    <w:p>
      <w:pPr>
        <w:pStyle w:val="Heading1"/>
      </w:pPr>
      <w:r>
        <w:t>8. Controlled Document Filenames</w:t>
      </w:r>
    </w:p>
    <w:p>
      <w:r>
        <w:t>Use TYPE-NNN-Short-Title.md for canonical Markdown. Example: STD-006-Naming-Conventions.md.</w:t>
      </w:r>
    </w:p>
    <w:p>
      <w:pPr>
        <w:pStyle w:val="Heading1"/>
      </w:pPr>
      <w:r>
        <w:t>9. Repository Names</w:t>
      </w:r>
    </w:p>
    <w:p>
      <w:r>
        <w:t>Use lowercase kebab-case. Examples: synapse-docs, synapse-core, synapse-sdk, synapse-cli.</w:t>
      </w:r>
    </w:p>
    <w:p>
      <w:pPr>
        <w:pStyle w:val="Heading1"/>
      </w:pPr>
      <w:r>
        <w:t>10. Directory Names</w:t>
      </w:r>
    </w:p>
    <w:p>
      <w:r>
        <w:t>Prefer lowercase kebab-case for cross-platform repository directories unless the language ecosystem has a strong convention. Avoid spaces in source-oriented paths.</w:t>
      </w:r>
    </w:p>
    <w:p>
      <w:pPr>
        <w:pStyle w:val="Heading1"/>
      </w:pPr>
      <w:r>
        <w:t>11. General Filenames</w:t>
      </w:r>
    </w:p>
    <w:p>
      <w:r>
        <w:t>Use names appropriate to ecosystem conventions. Cross-platform documentation and configuration filenames should avoid ambiguous casing.</w:t>
      </w:r>
    </w:p>
    <w:p>
      <w:pPr>
        <w:pStyle w:val="Heading1"/>
      </w:pPr>
      <w:r>
        <w:t>12. Branch Names</w:t>
      </w:r>
    </w:p>
    <w:p>
      <w:r>
        <w:t>Use &lt;type&gt;/&lt;reference&gt;-&lt;description&gt; in lowercase kebab-case where applicable. Example: feature/rfc-0001-core-lifecycle.</w:t>
      </w:r>
    </w:p>
    <w:p>
      <w:pPr>
        <w:pStyle w:val="Heading1"/>
      </w:pPr>
      <w:r>
        <w:t>13. Git Tags</w:t>
      </w:r>
    </w:p>
    <w:p>
      <w:r>
        <w:t>Stable releases use vMAJOR.MINOR.PATCH, such as v1.0.0. Pre-releases use semantic suffixes.</w:t>
      </w:r>
    </w:p>
    <w:p>
      <w:pPr>
        <w:pStyle w:val="Heading1"/>
      </w:pPr>
      <w:r>
        <w:t>14. Commit Scopes</w:t>
      </w:r>
    </w:p>
    <w:p>
      <w:r>
        <w:t>Commit scopes should use stable subsystem names such as core, memory, knowledge, provider, cli, sdk or docs. Avoid inventing a new scope for every file.</w:t>
      </w:r>
    </w:p>
    <w:p>
      <w:pPr>
        <w:pStyle w:val="Heading1"/>
      </w:pPr>
      <w:r>
        <w:t>15. Source Code Principle</w:t>
      </w:r>
    </w:p>
    <w:p>
      <w:r>
        <w:t>Follow the selected language's established conventions unless a cross-language public contract requires consistency. Do not force one language's casing rules onto another.</w:t>
      </w:r>
    </w:p>
    <w:p>
      <w:pPr>
        <w:pStyle w:val="Heading1"/>
      </w:pPr>
      <w:r>
        <w:t>16. Types and Classes</w:t>
      </w:r>
    </w:p>
    <w:p>
      <w:r>
        <w:t>Use nouns or noun phrases representing concepts. Examples: MissionPlanner, ProviderRegistry, MemoryStore. Avoid vague types such as DataManager or Utility.</w:t>
      </w:r>
    </w:p>
    <w:p>
      <w:pPr>
        <w:pStyle w:val="Heading1"/>
      </w:pPr>
      <w:r>
        <w:t>17. Interfaces and Traits</w:t>
      </w:r>
    </w:p>
    <w:p>
      <w:r>
        <w:t>Name by capability or role. Examples: ModelProvider, EventPublisher, MemoryRepository. Do not add meaningless prefixes unless ecosystem convention requires them.</w:t>
      </w:r>
    </w:p>
    <w:p>
      <w:pPr>
        <w:pStyle w:val="Heading1"/>
      </w:pPr>
      <w:r>
        <w:t>18. Functions and Methods</w:t>
      </w:r>
    </w:p>
    <w:p>
      <w:r>
        <w:t>Use verbs or verb phrases describing action. Examples: createMission, resolveProvider, validateCapability. Boolean queries may use is, has, can or should.</w:t>
      </w:r>
    </w:p>
    <w:p>
      <w:pPr>
        <w:pStyle w:val="Heading1"/>
      </w:pPr>
      <w:r>
        <w:t>19. Variables</w:t>
      </w:r>
    </w:p>
    <w:p>
      <w:r>
        <w:t>Use descriptive names proportional to scope. Very short names are acceptable only for conventional, tightly scoped contexts.</w:t>
      </w:r>
    </w:p>
    <w:p>
      <w:pPr>
        <w:pStyle w:val="Heading1"/>
      </w:pPr>
      <w:r>
        <w:t>20. Constants</w:t>
      </w:r>
    </w:p>
    <w:p>
      <w:r>
        <w:t>Use language conventions. Shared constants must describe meaning, not merely value.</w:t>
      </w:r>
    </w:p>
    <w:p>
      <w:pPr>
        <w:pStyle w:val="Heading1"/>
      </w:pPr>
      <w:r>
        <w:t>21. Boolean Names</w:t>
      </w:r>
    </w:p>
    <w:p>
      <w:r>
        <w:t>Boolean names should read as predicates: isReady, hasPermission, canRetry, shouldPersist. Avoid ambiguous enabled unless context is obvious.</w:t>
      </w:r>
    </w:p>
    <w:p>
      <w:pPr>
        <w:pStyle w:val="Heading1"/>
      </w:pPr>
      <w:r>
        <w:t>22. Collections</w:t>
      </w:r>
    </w:p>
    <w:p>
      <w:r>
        <w:t>Use plural nouns for collections: providers, missions, events. Avoid singular names containing multiple items.</w:t>
      </w:r>
    </w:p>
    <w:p>
      <w:pPr>
        <w:pStyle w:val="Heading1"/>
      </w:pPr>
      <w:r>
        <w:t>23. Identifiers</w:t>
      </w:r>
    </w:p>
    <w:p>
      <w:r>
        <w:t>Use explicit suffixes when multiple identifier types exist: missionId, providerId, correlationId. Do not call every identifier id when scope is broad.</w:t>
      </w:r>
    </w:p>
    <w:p>
      <w:pPr>
        <w:pStyle w:val="Heading1"/>
      </w:pPr>
      <w:r>
        <w:t>24. Acronyms</w:t>
      </w:r>
    </w:p>
    <w:p>
      <w:r>
        <w:t>Treat acronyms consistently according to language convention. Define uncommon acronyms in documentation. Avoid acronym-heavy names.</w:t>
      </w:r>
    </w:p>
    <w:p>
      <w:pPr>
        <w:pStyle w:val="Heading1"/>
      </w:pPr>
      <w:r>
        <w:t>25. Abbreviations</w:t>
      </w:r>
    </w:p>
    <w:p>
      <w:r>
        <w:t>Approved common abbreviations may be used where they improve readability. Project-specific abbreviations should be recorded in the glossary.</w:t>
      </w:r>
    </w:p>
    <w:p>
      <w:pPr>
        <w:pStyle w:val="Heading1"/>
      </w:pPr>
      <w:r>
        <w:t>26. Reserved Terms</w:t>
      </w:r>
    </w:p>
    <w:p>
      <w:r>
        <w:t>Core domain terms such as Mission, Agent, Provider, Capability, Memory, Knowledge, Event, Command, Plugin and Module must receive explicit definitions before broad implementation.</w:t>
      </w:r>
    </w:p>
    <w:p>
      <w:pPr>
        <w:pStyle w:val="Heading1"/>
      </w:pPr>
      <w:r>
        <w:t>27. Synonyms</w:t>
      </w:r>
    </w:p>
    <w:p>
      <w:r>
        <w:t>Do not use task, mission, job and workflow interchangeably unless architecture defines distinctions. Terminology drift is a design defect.</w:t>
      </w:r>
    </w:p>
    <w:p>
      <w:pPr>
        <w:pStyle w:val="Heading1"/>
      </w:pPr>
      <w:r>
        <w:t>28. Vendor Neutrality</w:t>
      </w:r>
    </w:p>
    <w:p>
      <w:r>
        <w:t>Core names should describe capability rather than vendor. Prefer ModelProvider over ClaudeManager. Vendor names belong in adapters such as AnthropicProvider.</w:t>
      </w:r>
    </w:p>
    <w:p>
      <w:pPr>
        <w:pStyle w:val="Heading1"/>
      </w:pPr>
      <w:r>
        <w:t>29. Provider Names</w:t>
      </w:r>
    </w:p>
    <w:p>
      <w:r>
        <w:t>Use stable provider adapter names based on organisation or protocol where appropriate: AnthropicProvider, OpenAIProvider, LocalModelProvider. Product-model names should not become core abstractions.</w:t>
      </w:r>
    </w:p>
    <w:p>
      <w:pPr>
        <w:pStyle w:val="Heading1"/>
      </w:pPr>
      <w:r>
        <w:t>30. Model Identifiers</w:t>
      </w:r>
    </w:p>
    <w:p>
      <w:r>
        <w:t>Treat external model IDs as provider data. Do not infer durable capabilities solely from marketing model names.</w:t>
      </w:r>
    </w:p>
    <w:p>
      <w:pPr>
        <w:pStyle w:val="Heading1"/>
      </w:pPr>
      <w:r>
        <w:t>31. Plugin Names</w:t>
      </w:r>
    </w:p>
    <w:p>
      <w:r>
        <w:t>Plugin identifiers must be unique, stable and namespace-aware. Recommended form: &lt;publisher&gt;.&lt;plugin&gt;, subject to future RFC.</w:t>
      </w:r>
    </w:p>
    <w:p>
      <w:pPr>
        <w:pStyle w:val="Heading1"/>
      </w:pPr>
      <w:r>
        <w:t>32. Module Names</w:t>
      </w:r>
    </w:p>
    <w:p>
      <w:r>
        <w:t>Modules should represent coherent capability domains. Avoid catch-all modules named common, shared or utils unless tightly governed.</w:t>
      </w:r>
    </w:p>
    <w:p>
      <w:pPr>
        <w:pStyle w:val="Heading1"/>
      </w:pPr>
      <w:r>
        <w:t>33. Service Names</w:t>
      </w:r>
    </w:p>
    <w:p>
      <w:r>
        <w:t>Name services by responsibility, not implementation technology. Prefer MissionScheduler over RedisScheduler unless the technology is the actual contract.</w:t>
      </w:r>
    </w:p>
    <w:p>
      <w:pPr>
        <w:pStyle w:val="Heading1"/>
      </w:pPr>
      <w:r>
        <w:t>34. Event Names</w:t>
      </w:r>
    </w:p>
    <w:p>
      <w:r>
        <w:t>Events describe facts that occurred and SHOULD use past-tense domain language: MissionCreated, ProviderFailed, PluginLoaded.</w:t>
      </w:r>
    </w:p>
    <w:p>
      <w:pPr>
        <w:pStyle w:val="Heading1"/>
      </w:pPr>
      <w:r>
        <w:t>35. Command Names</w:t>
      </w:r>
    </w:p>
    <w:p>
      <w:r>
        <w:t>Commands describe requested actions and SHOULD use imperative intent: CreateMission, LoadPlugin, RotateCredential.</w:t>
      </w:r>
    </w:p>
    <w:p>
      <w:pPr>
        <w:pStyle w:val="Heading1"/>
      </w:pPr>
      <w:r>
        <w:t>36. Query Names</w:t>
      </w:r>
    </w:p>
    <w:p>
      <w:r>
        <w:t>Queries describe requested information: GetMission, ListProviders, FindMemories. Query contracts should not imply mutation.</w:t>
      </w:r>
    </w:p>
    <w:p>
      <w:pPr>
        <w:pStyle w:val="Heading1"/>
      </w:pPr>
      <w:r>
        <w:t>37. Topic and Queue Names</w:t>
      </w:r>
    </w:p>
    <w:p>
      <w:r>
        <w:t>Messaging names should use a documented lowercase convention and stable domain hierarchy. Exact syntax will be finalised in the messaging standard/RFC.</w:t>
      </w:r>
    </w:p>
    <w:p>
      <w:pPr>
        <w:pStyle w:val="Heading1"/>
      </w:pPr>
      <w:r>
        <w:t>38. API Resource Names</w:t>
      </w:r>
    </w:p>
    <w:p>
      <w:r>
        <w:t>REST resources should use nouns, normally plural, lowercase and hyphenated where needed: /missions, /model-providers.</w:t>
      </w:r>
    </w:p>
    <w:p>
      <w:pPr>
        <w:pStyle w:val="Heading1"/>
      </w:pPr>
      <w:r>
        <w:t>39. API Actions</w:t>
      </w:r>
    </w:p>
    <w:p>
      <w:r>
        <w:t>Prefer resource semantics over verb-heavy endpoints. Where explicit actions are necessary, name them consistently and document idempotency.</w:t>
      </w:r>
    </w:p>
    <w:p>
      <w:pPr>
        <w:pStyle w:val="Heading1"/>
      </w:pPr>
      <w:r>
        <w:t>40. API Fields</w:t>
      </w:r>
    </w:p>
    <w:p>
      <w:r>
        <w:t>Public JSON fields should use one consistent casing convention, recommended camelCase unless an approved API standard chooses otherwise.</w:t>
      </w:r>
    </w:p>
    <w:p>
      <w:pPr>
        <w:pStyle w:val="Heading1"/>
      </w:pPr>
      <w:r>
        <w:t>41. API Version Names</w:t>
      </w:r>
    </w:p>
    <w:p>
      <w:r>
        <w:t>Use explicit version identifiers such as /v1 or media-type/version mechanisms defined by the API standard. Avoid latest in durable client contracts.</w:t>
      </w:r>
    </w:p>
    <w:p>
      <w:pPr>
        <w:pStyle w:val="Heading1"/>
      </w:pPr>
      <w:r>
        <w:t>42. Error Codes</w:t>
      </w:r>
    </w:p>
    <w:p>
      <w:r>
        <w:t>Machine-readable error codes should be stable, explicit and namespace-aware. Example: SYNAPSE_PROVIDER_TIMEOUT. Human messages may evolve independently.</w:t>
      </w:r>
    </w:p>
    <w:p>
      <w:pPr>
        <w:pStyle w:val="Heading1"/>
      </w:pPr>
      <w:r>
        <w:t>43. Configuration Keys</w:t>
      </w:r>
    </w:p>
    <w:p>
      <w:r>
        <w:t>Configuration keys should use hierarchical, stable names. Example conceptual form: providers.anthropic.timeoutSeconds.</w:t>
      </w:r>
    </w:p>
    <w:p>
      <w:pPr>
        <w:pStyle w:val="Heading1"/>
      </w:pPr>
      <w:r>
        <w:t>44. Environment Variables</w:t>
      </w:r>
    </w:p>
    <w:p>
      <w:r>
        <w:t>Use uppercase snake case with SYNAPSE_ prefix for project-owned variables. Example: SYNAPSE_LOG_LEVEL.</w:t>
      </w:r>
    </w:p>
    <w:p>
      <w:pPr>
        <w:pStyle w:val="Heading1"/>
      </w:pPr>
      <w:r>
        <w:t>45. Secret Names</w:t>
      </w:r>
    </w:p>
    <w:p>
      <w:r>
        <w:t>Secret identifiers should describe purpose without embedding secret values. Example: SYNAPSE_ANTHROPIC_API_KEY.</w:t>
      </w:r>
    </w:p>
    <w:p>
      <w:pPr>
        <w:pStyle w:val="Heading1"/>
      </w:pPr>
      <w:r>
        <w:t>46. Feature Flags</w:t>
      </w:r>
    </w:p>
    <w:p>
      <w:r>
        <w:t>Use descriptive names tied to capability and expected lifecycle. Avoid flags such as newFeature or testMode.</w:t>
      </w:r>
    </w:p>
    <w:p>
      <w:pPr>
        <w:pStyle w:val="Heading1"/>
      </w:pPr>
      <w:r>
        <w:t>47. Metrics</w:t>
      </w:r>
    </w:p>
    <w:p>
      <w:r>
        <w:t>Metrics require a stable namespace, unit clarity and consistent labels. Avoid unbounded high-cardinality labels.</w:t>
      </w:r>
    </w:p>
    <w:p>
      <w:pPr>
        <w:pStyle w:val="Heading1"/>
      </w:pPr>
      <w:r>
        <w:t>48. Log Fields</w:t>
      </w:r>
    </w:p>
    <w:p>
      <w:r>
        <w:t>Structured log fields should use stable names such as correlationId, missionId and providerId according to the logging standard.</w:t>
      </w:r>
    </w:p>
    <w:p>
      <w:pPr>
        <w:pStyle w:val="Heading1"/>
      </w:pPr>
      <w:r>
        <w:t>49. Trace and Correlation IDs</w:t>
      </w:r>
    </w:p>
    <w:p>
      <w:r>
        <w:t>Use correlationId for cross-operation correlation only if architecture adopts that term consistently. Distinguish traceId, spanId, requestId and operationId where semantics differ.</w:t>
      </w:r>
    </w:p>
    <w:p>
      <w:pPr>
        <w:pStyle w:val="Heading1"/>
      </w:pPr>
      <w:r>
        <w:t>50. Database Tables</w:t>
      </w:r>
    </w:p>
    <w:p>
      <w:r>
        <w:t>Use one documented casing/pluralisation convention per datastore. Names should represent domain concepts rather than UI labels.</w:t>
      </w:r>
    </w:p>
    <w:p>
      <w:pPr>
        <w:pStyle w:val="Heading1"/>
      </w:pPr>
      <w:r>
        <w:t>51. Database Columns</w:t>
      </w:r>
    </w:p>
    <w:p>
      <w:r>
        <w:t>Use consistent casing and explicit units where needed, such as timeout_seconds rather than timeout.</w:t>
      </w:r>
    </w:p>
    <w:p>
      <w:pPr>
        <w:pStyle w:val="Heading1"/>
      </w:pPr>
      <w:r>
        <w:t>52. Primary Keys</w:t>
      </w:r>
    </w:p>
    <w:p>
      <w:r>
        <w:t>Use stable explicit identifiers. Avoid assuming all systems can safely use generic id without context.</w:t>
      </w:r>
    </w:p>
    <w:p>
      <w:pPr>
        <w:pStyle w:val="Heading1"/>
      </w:pPr>
      <w:r>
        <w:t>53. Foreign Keys</w:t>
      </w:r>
    </w:p>
    <w:p>
      <w:r>
        <w:t>Foreign-key names should identify referenced concept, such as mission_id.</w:t>
      </w:r>
    </w:p>
    <w:p>
      <w:pPr>
        <w:pStyle w:val="Heading1"/>
      </w:pPr>
      <w:r>
        <w:t>54. Indexes and Constraints</w:t>
      </w:r>
    </w:p>
    <w:p>
      <w:r>
        <w:t>Use deterministic names that identify object and purpose where the database supports naming.</w:t>
      </w:r>
    </w:p>
    <w:p>
      <w:pPr>
        <w:pStyle w:val="Heading1"/>
      </w:pPr>
      <w:r>
        <w:t>55. Migration Names</w:t>
      </w:r>
    </w:p>
    <w:p>
      <w:r>
        <w:t>Migration names should include ordered identifier/timestamp and concise purpose according to selected migration tooling.</w:t>
      </w:r>
    </w:p>
    <w:p>
      <w:pPr>
        <w:pStyle w:val="Heading1"/>
      </w:pPr>
      <w:r>
        <w:t>56. Cache Keys</w:t>
      </w:r>
    </w:p>
    <w:p>
      <w:r>
        <w:t>Cache keys require namespace, entity identity and versioning strategy where format may evolve.</w:t>
      </w:r>
    </w:p>
    <w:p>
      <w:pPr>
        <w:pStyle w:val="Heading1"/>
      </w:pPr>
      <w:r>
        <w:t>57. File Storage Keys</w:t>
      </w:r>
    </w:p>
    <w:p>
      <w:r>
        <w:t>Storage object names must avoid leaking sensitive information and should not rely on user-provided filenames as unique identifiers.</w:t>
      </w:r>
    </w:p>
    <w:p>
      <w:pPr>
        <w:pStyle w:val="Heading1"/>
      </w:pPr>
      <w:r>
        <w:t>58. Cloud Resources</w:t>
      </w:r>
    </w:p>
    <w:p>
      <w:r>
        <w:t>Cloud names should encode environment and responsibility only where useful. Avoid exposing secrets or personal data in resource names.</w:t>
      </w:r>
    </w:p>
    <w:p>
      <w:pPr>
        <w:pStyle w:val="Heading1"/>
      </w:pPr>
      <w:r>
        <w:t>59. Environments</w:t>
      </w:r>
    </w:p>
    <w:p>
      <w:r>
        <w:t>Use canonical environment names: local, dev, test, staging, prod unless governance approves alternatives.</w:t>
      </w:r>
    </w:p>
    <w:p>
      <w:pPr>
        <w:pStyle w:val="Heading1"/>
      </w:pPr>
      <w:r>
        <w:t>60. Deployment Names</w:t>
      </w:r>
    </w:p>
    <w:p>
      <w:r>
        <w:t>Deployment identifiers should include stable service identity and environment through platform-appropriate labels rather than inconsistent ad hoc strings.</w:t>
      </w:r>
    </w:p>
    <w:p>
      <w:pPr>
        <w:pStyle w:val="Heading1"/>
      </w:pPr>
      <w:r>
        <w:t>61. Container Images</w:t>
      </w:r>
    </w:p>
    <w:p>
      <w:r>
        <w:t>Use lowercase repository names and semantic/versioned tags. Avoid relying solely on latest.</w:t>
      </w:r>
    </w:p>
    <w:p>
      <w:pPr>
        <w:pStyle w:val="Heading1"/>
      </w:pPr>
      <w:r>
        <w:t>62. Package Names</w:t>
      </w:r>
    </w:p>
    <w:p>
      <w:r>
        <w:t>Package names must follow ecosystem rules, avoid trademark confusion and be checked for namespace availability before public publication.</w:t>
      </w:r>
    </w:p>
    <w:p>
      <w:pPr>
        <w:pStyle w:val="Heading1"/>
      </w:pPr>
      <w:r>
        <w:t>63. CLI Commands</w:t>
      </w:r>
    </w:p>
    <w:p>
      <w:r>
        <w:t>Use lowercase kebab-case commands and options. Commands should be verb-led where action-oriented: synapse mission create.</w:t>
      </w:r>
    </w:p>
    <w:p>
      <w:pPr>
        <w:pStyle w:val="Heading1"/>
      </w:pPr>
      <w:r>
        <w:t>64. CLI Options</w:t>
      </w:r>
    </w:p>
    <w:p>
      <w:r>
        <w:t>Prefer long descriptive options with standard short aliases only where useful. Example: --config, --output.</w:t>
      </w:r>
    </w:p>
    <w:p>
      <w:pPr>
        <w:pStyle w:val="Heading1"/>
      </w:pPr>
      <w:r>
        <w:t>65. SDK Names</w:t>
      </w:r>
    </w:p>
    <w:p>
      <w:r>
        <w:t>Public SDK types and methods should mirror domain terminology and remain stable across languages where practical without violating language idioms.</w:t>
      </w:r>
    </w:p>
    <w:p>
      <w:pPr>
        <w:pStyle w:val="Heading1"/>
      </w:pPr>
      <w:r>
        <w:t>66. Test Names</w:t>
      </w:r>
    </w:p>
    <w:p>
      <w:r>
        <w:t>Tests should describe behaviour and condition. Example: rejectsExpiredCapabilityToken rather than testAuth2.</w:t>
      </w:r>
    </w:p>
    <w:p>
      <w:pPr>
        <w:pStyle w:val="Heading1"/>
      </w:pPr>
      <w:r>
        <w:t>67. Test Fixtures</w:t>
      </w:r>
    </w:p>
    <w:p>
      <w:r>
        <w:t>Fixture names should describe scenario, not arbitrary numbering.</w:t>
      </w:r>
    </w:p>
    <w:p>
      <w:pPr>
        <w:pStyle w:val="Heading1"/>
      </w:pPr>
      <w:r>
        <w:t>68. Mock and Fake Names</w:t>
      </w:r>
    </w:p>
    <w:p>
      <w:r>
        <w:t>Distinguish mocks, stubs, fakes and test doubles when the distinction matters. Avoid naming production implementations Fake.</w:t>
      </w:r>
    </w:p>
    <w:p>
      <w:pPr>
        <w:pStyle w:val="Heading1"/>
      </w:pPr>
      <w:r>
        <w:t>69. Exception and Error Types</w:t>
      </w:r>
    </w:p>
    <w:p>
      <w:r>
        <w:t>Name errors by condition or domain failure: ProviderTimeoutError, InvalidMissionState. Avoid GenericError.</w:t>
      </w:r>
    </w:p>
    <w:p>
      <w:pPr>
        <w:pStyle w:val="Heading1"/>
      </w:pPr>
      <w:r>
        <w:t>70. Security Names</w:t>
      </w:r>
    </w:p>
    <w:p>
      <w:r>
        <w:t>Security-sensitive roles, permissions and capabilities require precise semantics. Avoid broad names such as adminAccess without defining scope.</w:t>
      </w:r>
    </w:p>
    <w:p>
      <w:pPr>
        <w:pStyle w:val="Heading1"/>
      </w:pPr>
      <w:r>
        <w:t>71. Role Names</w:t>
      </w:r>
    </w:p>
    <w:p>
      <w:r>
        <w:t>Roles should describe organisational responsibility. Permissions should describe allowed actions. Do not encode all authorisation logic in role names.</w:t>
      </w:r>
    </w:p>
    <w:p>
      <w:pPr>
        <w:pStyle w:val="Heading1"/>
      </w:pPr>
      <w:r>
        <w:t>72. Permission Names</w:t>
      </w:r>
    </w:p>
    <w:p>
      <w:r>
        <w:t>Recommended conceptual form: &lt;resource&gt;:&lt;action&gt;, for example mission:create, plugin:install, subject to security architecture approval.</w:t>
      </w:r>
    </w:p>
    <w:p>
      <w:pPr>
        <w:pStyle w:val="Heading1"/>
      </w:pPr>
      <w:r>
        <w:t>73. AI Agent Names</w:t>
      </w:r>
    </w:p>
    <w:p>
      <w:r>
        <w:t>System agent identities should describe role or function rather than imply human identity. Avoid deceptive naming that makes an AI agent appear to be a real person.</w:t>
      </w:r>
    </w:p>
    <w:p>
      <w:pPr>
        <w:pStyle w:val="Heading1"/>
      </w:pPr>
      <w:r>
        <w:t>74. Autonomous Team Names</w:t>
      </w:r>
    </w:p>
    <w:p>
      <w:r>
        <w:t>Names may be human-friendly but machine identifiers must remain stable and distinct from display labels.</w:t>
      </w:r>
    </w:p>
    <w:p>
      <w:pPr>
        <w:pStyle w:val="Heading1"/>
      </w:pPr>
      <w:r>
        <w:t>75. Display Names vs IDs</w:t>
      </w:r>
    </w:p>
    <w:p>
      <w:r>
        <w:t>User-facing display names may change. Stable machine identifiers should not depend on mutable display names.</w:t>
      </w:r>
    </w:p>
    <w:p>
      <w:pPr>
        <w:pStyle w:val="Heading1"/>
      </w:pPr>
      <w:r>
        <w:t>76. Temporal Names</w:t>
      </w:r>
    </w:p>
    <w:p>
      <w:r>
        <w:t>Use explicit units and semantics: retryDelaySeconds, createdAt, expiresAt. Avoid generic time or date.</w:t>
      </w:r>
    </w:p>
    <w:p>
      <w:pPr>
        <w:pStyle w:val="Heading1"/>
      </w:pPr>
      <w:r>
        <w:t>77. Units</w:t>
      </w:r>
    </w:p>
    <w:p>
      <w:r>
        <w:t>Include units in names when ambiguity exists: memoryBytes, timeoutMs, retentionDays.</w:t>
      </w:r>
    </w:p>
    <w:p>
      <w:pPr>
        <w:pStyle w:val="Heading1"/>
      </w:pPr>
      <w:r>
        <w:t>78. Positive Naming</w:t>
      </w:r>
    </w:p>
    <w:p>
      <w:r>
        <w:t>Prefer positive boolean/config semantics where possible. Double negatives such as disableNoCache are prohibited.</w:t>
      </w:r>
    </w:p>
    <w:p>
      <w:pPr>
        <w:pStyle w:val="Heading1"/>
      </w:pPr>
      <w:r>
        <w:t>79. Deprecated Names</w:t>
      </w:r>
    </w:p>
    <w:p>
      <w:r>
        <w:t>Do not silently reuse deprecated public names for different concepts. Provide migration and aliases only where compatibility strategy supports them.</w:t>
      </w:r>
    </w:p>
    <w:p>
      <w:pPr>
        <w:pStyle w:val="Heading1"/>
      </w:pPr>
      <w:r>
        <w:t>80. Renaming</w:t>
      </w:r>
    </w:p>
    <w:p>
      <w:r>
        <w:t>Public renames require impact analysis, migration plan and compatibility handling. Internal renames may be simpler but should remain coherent.</w:t>
      </w:r>
    </w:p>
    <w:p>
      <w:pPr>
        <w:pStyle w:val="Heading1"/>
      </w:pPr>
      <w:r>
        <w:t>81. Searchability</w:t>
      </w:r>
    </w:p>
    <w:p>
      <w:r>
        <w:t>Choose names that are easy to search across repositories. Avoid overloaded generic words for important concepts.</w:t>
      </w:r>
    </w:p>
    <w:p>
      <w:pPr>
        <w:pStyle w:val="Heading1"/>
      </w:pPr>
      <w:r>
        <w:t>82. Case Sensitivity</w:t>
      </w:r>
    </w:p>
    <w:p>
      <w:r>
        <w:t>Assume contributors may use case-sensitive and case-insensitive filesystems. Avoid paths differing only by case.</w:t>
      </w:r>
    </w:p>
    <w:p>
      <w:pPr>
        <w:pStyle w:val="Heading1"/>
      </w:pPr>
      <w:r>
        <w:t>83. Unicode</w:t>
      </w:r>
    </w:p>
    <w:p>
      <w:r>
        <w:t>Human-facing text may use Unicode. Machine identifiers should use conservative character sets unless internationalisation requirements justify broader support.</w:t>
      </w:r>
    </w:p>
    <w:p>
      <w:pPr>
        <w:pStyle w:val="Heading1"/>
      </w:pPr>
      <w:r>
        <w:t>84. Prohibited Naming Practices</w:t>
      </w:r>
    </w:p>
    <w:p>
      <w:r>
        <w:t>• Offensive or discriminatory terms.</w:t>
        <w:br/>
        <w:t>• Misleading security names.</w:t>
        <w:br/>
        <w:t>• Real secrets in identifiers.</w:t>
        <w:br/>
        <w:t>• Personal data in resource names.</w:t>
        <w:br/>
        <w:t>• Ambiguous final/new/temp naming.</w:t>
        <w:br/>
        <w:t>• Vendor-specific names in core abstractions without justification.</w:t>
        <w:br/>
        <w:t>• AI agents impersonating humans.</w:t>
      </w:r>
    </w:p>
    <w:p>
      <w:pPr>
        <w:pStyle w:val="Heading1"/>
      </w:pPr>
      <w:r>
        <w:t>85. Glossary Governance</w:t>
      </w:r>
    </w:p>
    <w:p>
      <w:r>
        <w:t>Shared domain terms should be recorded in the SynapseOS glossary. Definitions should link to architecture where deeper semantics exist.</w:t>
      </w:r>
    </w:p>
    <w:p>
      <w:pPr>
        <w:pStyle w:val="Heading1"/>
      </w:pPr>
      <w:r>
        <w:t>86. Naming Review</w:t>
      </w:r>
    </w:p>
    <w:p>
      <w:r>
        <w:t>Review public names during architecture/RFC review. Naming is cheaper to fix before release.</w:t>
      </w:r>
    </w:p>
    <w:p>
      <w:pPr>
        <w:pStyle w:val="Heading1"/>
      </w:pPr>
      <w:r>
        <w:t>87. AI-Assisted Naming</w:t>
      </w:r>
    </w:p>
    <w:p>
      <w:r>
        <w:t>AI tools may propose names but must not invent terminology casually. New core terms require explicit acceptance and glossary consideration.</w:t>
      </w:r>
    </w:p>
    <w:p>
      <w:pPr>
        <w:pStyle w:val="Heading1"/>
      </w:pPr>
      <w:r>
        <w:t>88. Exceptions</w:t>
      </w:r>
    </w:p>
    <w:p>
      <w:r>
        <w:t>Language ecosystems may justify exceptions. Record material deviations and keep public contracts coherent.</w:t>
      </w:r>
    </w:p>
    <w:p>
      <w:pPr>
        <w:pStyle w:val="Heading1"/>
      </w:pPr>
      <w:r>
        <w:t>89. Compliance</w:t>
      </w:r>
    </w:p>
    <w:p>
      <w:r>
        <w:t>New public artifacts SHALL comply after approval. Existing names should be migrated based on risk and compatibility cost.</w:t>
      </w:r>
    </w:p>
    <w:p>
      <w:pPr>
        <w:pStyle w:val="Heading1"/>
      </w:pPr>
      <w:r>
        <w:t>90. Success Criteria</w:t>
      </w:r>
    </w:p>
    <w:p>
      <w:r>
        <w:t>The standard succeeds when names make SynapseOS easier to understand, search, automate, integrate and evolve.</w:t>
      </w:r>
    </w:p>
    <w:p>
      <w:pPr>
        <w:pStyle w:val="Heading1"/>
      </w:pPr>
      <w:r>
        <w:t>91. Open Questions</w:t>
      </w:r>
    </w:p>
    <w:p>
      <w:r>
        <w:t>• What exact public package namespace will SynapseOS use?</w:t>
        <w:br/>
        <w:t>• Should JSON fields standardise on camelCase?</w:t>
        <w:br/>
        <w:t>• What messaging topic syntax will be adopted?</w:t>
        <w:br/>
        <w:t>• What plugin identifier namespace will be adopted?</w:t>
        <w:br/>
        <w:t>• Which terms require immediate glossary definitions before coding begins?</w:t>
      </w:r>
    </w:p>
    <w:p>
      <w:pPr>
        <w:pStyle w:val="Heading1"/>
      </w:pPr>
      <w:r>
        <w:t>92. References</w:t>
      </w:r>
    </w:p>
    <w:p>
      <w:r>
        <w:t>Internal:</w:t>
        <w:br/>
        <w:t>• STD-001 – Documentation Standards</w:t>
        <w:br/>
        <w:t>• STD-002 – Coding Standards</w:t>
        <w:br/>
        <w:t>• STD-003 – Git Workflow</w:t>
        <w:br/>
        <w:t>• STD-004 – Repository Standards</w:t>
        <w:br/>
        <w:t>• STD-005 – Branch Strategy</w:t>
      </w:r>
    </w:p>
    <w:p>
      <w:pPr>
        <w:pStyle w:val="Heading1"/>
      </w:pPr>
      <w:r>
        <w:t>Appendix A – Naming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Artifact</w:t>
            </w:r>
          </w:p>
        </w:tc>
        <w:tc>
          <w:tcPr>
            <w:tcW w:type="dxa" w:w="3264"/>
          </w:tcPr>
          <w:p>
            <w:r>
              <w:t>Convention</w:t>
            </w:r>
          </w:p>
        </w:tc>
        <w:tc>
          <w:tcPr>
            <w:tcW w:type="dxa" w:w="3264"/>
          </w:tcPr>
          <w:p>
            <w:r>
              <w:t>Example</w:t>
            </w:r>
          </w:p>
        </w:tc>
      </w:tr>
      <w:tr>
        <w:tc>
          <w:tcPr>
            <w:tcW w:type="dxa" w:w="3264"/>
          </w:tcPr>
          <w:p>
            <w:r>
              <w:t>Product</w:t>
            </w:r>
          </w:p>
        </w:tc>
        <w:tc>
          <w:tcPr>
            <w:tcW w:type="dxa" w:w="3264"/>
          </w:tcPr>
          <w:p>
            <w:r>
              <w:t>Exact brand casing</w:t>
            </w:r>
          </w:p>
        </w:tc>
        <w:tc>
          <w:tcPr>
            <w:tcW w:type="dxa" w:w="3264"/>
          </w:tcPr>
          <w:p>
            <w:r>
              <w:t>SynapseOS</w:t>
            </w:r>
          </w:p>
        </w:tc>
      </w:tr>
      <w:tr>
        <w:tc>
          <w:tcPr>
            <w:tcW w:type="dxa" w:w="3264"/>
          </w:tcPr>
          <w:p>
            <w:r>
              <w:t>Repository</w:t>
            </w:r>
          </w:p>
        </w:tc>
        <w:tc>
          <w:tcPr>
            <w:tcW w:type="dxa" w:w="3264"/>
          </w:tcPr>
          <w:p>
            <w:r>
              <w:t>lowercase kebab-case</w:t>
            </w:r>
          </w:p>
        </w:tc>
        <w:tc>
          <w:tcPr>
            <w:tcW w:type="dxa" w:w="3264"/>
          </w:tcPr>
          <w:p>
            <w:r>
              <w:t>synapse-core</w:t>
            </w:r>
          </w:p>
        </w:tc>
      </w:tr>
      <w:tr>
        <w:tc>
          <w:tcPr>
            <w:tcW w:type="dxa" w:w="3264"/>
          </w:tcPr>
          <w:p>
            <w:r>
              <w:t>Document ID</w:t>
            </w:r>
          </w:p>
        </w:tc>
        <w:tc>
          <w:tcPr>
            <w:tcW w:type="dxa" w:w="3264"/>
          </w:tcPr>
          <w:p>
            <w:r>
              <w:t>UPPERCASE + number</w:t>
            </w:r>
          </w:p>
        </w:tc>
        <w:tc>
          <w:tcPr>
            <w:tcW w:type="dxa" w:w="3264"/>
          </w:tcPr>
          <w:p>
            <w:r>
              <w:t>STD-006</w:t>
            </w:r>
          </w:p>
        </w:tc>
      </w:tr>
      <w:tr>
        <w:tc>
          <w:tcPr>
            <w:tcW w:type="dxa" w:w="3264"/>
          </w:tcPr>
          <w:p>
            <w:r>
              <w:t>Markdown document</w:t>
            </w:r>
          </w:p>
        </w:tc>
        <w:tc>
          <w:tcPr>
            <w:tcW w:type="dxa" w:w="3264"/>
          </w:tcPr>
          <w:p>
            <w:r>
              <w:t>ID + kebab title</w:t>
            </w:r>
          </w:p>
        </w:tc>
        <w:tc>
          <w:tcPr>
            <w:tcW w:type="dxa" w:w="3264"/>
          </w:tcPr>
          <w:p>
            <w:r>
              <w:t>STD-006-Naming-Conventions.md</w:t>
            </w:r>
          </w:p>
        </w:tc>
      </w:tr>
      <w:tr>
        <w:tc>
          <w:tcPr>
            <w:tcW w:type="dxa" w:w="3264"/>
          </w:tcPr>
          <w:p>
            <w:r>
              <w:t>Branch</w:t>
            </w:r>
          </w:p>
        </w:tc>
        <w:tc>
          <w:tcPr>
            <w:tcW w:type="dxa" w:w="3264"/>
          </w:tcPr>
          <w:p>
            <w:r>
              <w:t>type/reference-description</w:t>
            </w:r>
          </w:p>
        </w:tc>
        <w:tc>
          <w:tcPr>
            <w:tcW w:type="dxa" w:w="3264"/>
          </w:tcPr>
          <w:p>
            <w:r>
              <w:t>feature/rfc-0001-core-lifecycle</w:t>
            </w:r>
          </w:p>
        </w:tc>
      </w:tr>
      <w:tr>
        <w:tc>
          <w:tcPr>
            <w:tcW w:type="dxa" w:w="3264"/>
          </w:tcPr>
          <w:p>
            <w:r>
              <w:t>Git tag</w:t>
            </w:r>
          </w:p>
        </w:tc>
        <w:tc>
          <w:tcPr>
            <w:tcW w:type="dxa" w:w="3264"/>
          </w:tcPr>
          <w:p>
            <w:r>
              <w:t>semantic version</w:t>
            </w:r>
          </w:p>
        </w:tc>
        <w:tc>
          <w:tcPr>
            <w:tcW w:type="dxa" w:w="3264"/>
          </w:tcPr>
          <w:p>
            <w:r>
              <w:t>v1.0.0</w:t>
            </w:r>
          </w:p>
        </w:tc>
      </w:tr>
      <w:tr>
        <w:tc>
          <w:tcPr>
            <w:tcW w:type="dxa" w:w="3264"/>
          </w:tcPr>
          <w:p>
            <w:r>
              <w:t>Environment variable</w:t>
            </w:r>
          </w:p>
        </w:tc>
        <w:tc>
          <w:tcPr>
            <w:tcW w:type="dxa" w:w="3264"/>
          </w:tcPr>
          <w:p>
            <w:r>
              <w:t>UPPER_SNAKE_CASE</w:t>
            </w:r>
          </w:p>
        </w:tc>
        <w:tc>
          <w:tcPr>
            <w:tcW w:type="dxa" w:w="3264"/>
          </w:tcPr>
          <w:p>
            <w:r>
              <w:t>SYNAPSE_LOG_LEVEL</w:t>
            </w:r>
          </w:p>
        </w:tc>
      </w:tr>
      <w:tr>
        <w:tc>
          <w:tcPr>
            <w:tcW w:type="dxa" w:w="3264"/>
          </w:tcPr>
          <w:p>
            <w:r>
              <w:t>Event</w:t>
            </w:r>
          </w:p>
        </w:tc>
        <w:tc>
          <w:tcPr>
            <w:tcW w:type="dxa" w:w="3264"/>
          </w:tcPr>
          <w:p>
            <w:r>
              <w:t>Past-tense domain fact</w:t>
            </w:r>
          </w:p>
        </w:tc>
        <w:tc>
          <w:tcPr>
            <w:tcW w:type="dxa" w:w="3264"/>
          </w:tcPr>
          <w:p>
            <w:r>
              <w:t>MissionCreated</w:t>
            </w:r>
          </w:p>
        </w:tc>
      </w:tr>
      <w:tr>
        <w:tc>
          <w:tcPr>
            <w:tcW w:type="dxa" w:w="3264"/>
          </w:tcPr>
          <w:p>
            <w:r>
              <w:t>Command</w:t>
            </w:r>
          </w:p>
        </w:tc>
        <w:tc>
          <w:tcPr>
            <w:tcW w:type="dxa" w:w="3264"/>
          </w:tcPr>
          <w:p>
            <w:r>
              <w:t>Imperative action</w:t>
            </w:r>
          </w:p>
        </w:tc>
        <w:tc>
          <w:tcPr>
            <w:tcW w:type="dxa" w:w="3264"/>
          </w:tcPr>
          <w:p>
            <w:r>
              <w:t>CreateMission</w:t>
            </w:r>
          </w:p>
        </w:tc>
      </w:tr>
      <w:tr>
        <w:tc>
          <w:tcPr>
            <w:tcW w:type="dxa" w:w="3264"/>
          </w:tcPr>
          <w:p>
            <w:r>
              <w:t>REST resource</w:t>
            </w:r>
          </w:p>
        </w:tc>
        <w:tc>
          <w:tcPr>
            <w:tcW w:type="dxa" w:w="3264"/>
          </w:tcPr>
          <w:p>
            <w:r>
              <w:t>plural lowercase</w:t>
            </w:r>
          </w:p>
        </w:tc>
        <w:tc>
          <w:tcPr>
            <w:tcW w:type="dxa" w:w="3264"/>
          </w:tcPr>
          <w:p>
            <w:r>
              <w:t>/missions</w:t>
            </w:r>
          </w:p>
        </w:tc>
      </w:tr>
    </w:tbl>
    <w:p>
      <w:pPr>
        <w:pStyle w:val="Heading1"/>
      </w:pPr>
      <w:r>
        <w:t>Appendix B – Naming Review Checklist</w:t>
      </w:r>
    </w:p>
    <w:p>
      <w:r>
        <w:t>□ Name communicates intent</w:t>
      </w:r>
    </w:p>
    <w:p>
      <w:r>
        <w:t>□ Uses established domain terminology</w:t>
      </w:r>
    </w:p>
    <w:p>
      <w:r>
        <w:t>□ No unexplained abbreviation</w:t>
      </w:r>
    </w:p>
    <w:p>
      <w:r>
        <w:t>□ No unnecessary vendor coupling</w:t>
      </w:r>
    </w:p>
    <w:p>
      <w:r>
        <w:t>□ Searchable across repository</w:t>
      </w:r>
    </w:p>
    <w:p>
      <w:r>
        <w:t>□ Stable enough for public exposure</w:t>
      </w:r>
    </w:p>
    <w:p>
      <w:r>
        <w:t>□ Casing follows artifact convention</w:t>
      </w:r>
    </w:p>
    <w:p>
      <w:r>
        <w:t>□ Unit included where ambiguous</w:t>
      </w:r>
    </w:p>
    <w:p>
      <w:r>
        <w:t>□ No secret/personal data</w:t>
      </w:r>
    </w:p>
    <w:p>
      <w:r>
        <w:t>□ Glossary update considered</w:t>
      </w:r>
    </w:p>
    <w:p>
      <w:pPr>
        <w:pStyle w:val="Heading1"/>
      </w:pPr>
      <w:r>
        <w:t>Appendix C – Initial Glossary Candidates</w:t>
      </w:r>
    </w:p>
    <w:p>
      <w:r>
        <w:t>□ Mission</w:t>
      </w:r>
    </w:p>
    <w:p>
      <w:r>
        <w:t>□ Agent</w:t>
      </w:r>
    </w:p>
    <w:p>
      <w:r>
        <w:t>□ Provider</w:t>
      </w:r>
    </w:p>
    <w:p>
      <w:r>
        <w:t>□ Model</w:t>
      </w:r>
    </w:p>
    <w:p>
      <w:r>
        <w:t>□ Capability</w:t>
      </w:r>
    </w:p>
    <w:p>
      <w:r>
        <w:t>□ Tool</w:t>
      </w:r>
    </w:p>
    <w:p>
      <w:r>
        <w:t>□ Plugin</w:t>
      </w:r>
    </w:p>
    <w:p>
      <w:r>
        <w:t>□ Module</w:t>
      </w:r>
    </w:p>
    <w:p>
      <w:r>
        <w:t>□ Memory</w:t>
      </w:r>
    </w:p>
    <w:p>
      <w:r>
        <w:t>□ Knowledge</w:t>
      </w:r>
    </w:p>
    <w:p>
      <w:r>
        <w:t>□ Event</w:t>
      </w:r>
    </w:p>
    <w:p>
      <w:r>
        <w:t>□ Command</w:t>
      </w:r>
    </w:p>
    <w:p>
      <w:r>
        <w:t>□ Query</w:t>
      </w:r>
    </w:p>
    <w:p>
      <w:r>
        <w:t>□ Workflow</w:t>
      </w:r>
    </w:p>
    <w:p>
      <w:r>
        <w:t>□ Scheduler</w:t>
      </w:r>
    </w:p>
    <w:p>
      <w:r>
        <w:t>□ Executive Core</w:t>
      </w:r>
    </w:p>
    <w:p>
      <w:r>
        <w:t>□ Autonomous Organisation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