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STD-015 – Privacy &amp; Personal Information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STD-015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Privacy &amp; Personal Information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Primary Jurisdictional Context</w:t>
            </w:r>
          </w:p>
        </w:tc>
        <w:tc>
          <w:tcPr>
            <w:tcW w:type="dxa" w:w="4896"/>
          </w:tcPr>
          <w:p>
            <w:r>
              <w:t>South Africa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GOV-004, GOV-006, GOV-008, GOV-009, GOV-010, STD-001 through STD-014</w:t>
            </w:r>
          </w:p>
        </w:tc>
      </w:tr>
    </w:tbl>
    <w:p>
      <w:pPr>
        <w:pStyle w:val="Heading1"/>
      </w:pPr>
      <w:r>
        <w:t>1. Purpose</w:t>
      </w:r>
    </w:p>
    <w:p>
      <w:r>
        <w:t>Define engineering and governance requirements for privacy and personal information in SynapseOS, with South Africa's Protection of Personal Information Act (POPIA) as a primary jurisdictional context.</w:t>
      </w:r>
    </w:p>
    <w:p>
      <w:pPr>
        <w:pStyle w:val="Heading1"/>
      </w:pPr>
      <w:r>
        <w:t>2. Scope</w:t>
      </w:r>
    </w:p>
    <w:p>
      <w:r>
        <w:t>Applies to personal information processed in applications, APIs, logs, AI prompts/outputs, memory, knowledge systems, analytics, datasets, plugins, integrations, backups and autonomous workflows.</w:t>
      </w:r>
    </w:p>
    <w:p>
      <w:pPr>
        <w:pStyle w:val="Heading1"/>
      </w:pPr>
      <w:r>
        <w:t>3. Legal Status</w:t>
      </w:r>
    </w:p>
    <w:p>
      <w:r>
        <w:t>This standard is an internal engineering governance baseline and does not constitute legal advice. Applicable law, contracts and regulator guidance may require additional controls.</w:t>
      </w:r>
    </w:p>
    <w:p>
      <w:pPr>
        <w:pStyle w:val="Heading1"/>
      </w:pPr>
      <w:r>
        <w:t>4. Objective</w:t>
      </w:r>
    </w:p>
    <w:p>
      <w:r>
        <w:t>Enable useful intelligence and automation while reducing unnecessary collection, exposure, retention, inference and misuse of information relating to identifiable people.</w:t>
      </w:r>
    </w:p>
    <w:p>
      <w:pPr>
        <w:pStyle w:val="Heading1"/>
      </w:pPr>
      <w:r>
        <w:t>5. Privacy Philosophy</w:t>
      </w:r>
    </w:p>
    <w:p>
      <w:r>
        <w:t>Privacy is an architectural property, not only a policy notice. Systems should minimise what they know, expose and retain unless additional processing is justified.</w:t>
      </w:r>
    </w:p>
    <w:p>
      <w:pPr>
        <w:pStyle w:val="Heading1"/>
      </w:pPr>
      <w:r>
        <w:t>6. Core Principles</w:t>
      </w:r>
    </w:p>
    <w:p>
      <w:r>
        <w:t>• Accountability.</w:t>
        <w:br/>
        <w:t>• Processing limitation.</w:t>
        <w:br/>
        <w:t>• Purpose specification.</w:t>
        <w:br/>
        <w:t>• Further-processing compatibility.</w:t>
        <w:br/>
        <w:t>• Information quality.</w:t>
        <w:br/>
        <w:t>• Openness.</w:t>
        <w:br/>
        <w:t>• Security safeguards.</w:t>
        <w:br/>
        <w:t>• Data-subject participation.</w:t>
        <w:br/>
        <w:t>• Privacy by design and default.</w:t>
        <w:br/>
        <w:t>• Human dignity and contextual integrity.</w:t>
      </w:r>
    </w:p>
    <w:p>
      <w:pPr>
        <w:pStyle w:val="Heading1"/>
      </w:pPr>
      <w:r>
        <w:t>7. Definitions</w:t>
      </w:r>
    </w:p>
    <w:p>
      <w:r>
        <w:t>Personal information, data subject, responsible party, operator, processing, consent, de-identification and special personal information should be interpreted according to applicable law and approved legal guidance.</w:t>
      </w:r>
    </w:p>
    <w:p>
      <w:pPr>
        <w:pStyle w:val="Heading1"/>
      </w:pPr>
      <w:r>
        <w:t>8. Personal Information</w:t>
      </w:r>
    </w:p>
    <w:p>
      <w:r>
        <w:t>Treat information relating to an identifiable living natural person, and where applicable identifiable existing juristic persons under South African law, as potentially personal information.</w:t>
      </w:r>
    </w:p>
    <w:p>
      <w:pPr>
        <w:pStyle w:val="Heading1"/>
      </w:pPr>
      <w:r>
        <w:t>9. Direct Identifiers</w:t>
      </w:r>
    </w:p>
    <w:p>
      <w:r>
        <w:t>Examples include names, identity numbers, account identifiers, email addresses and phone numbers.</w:t>
      </w:r>
    </w:p>
    <w:p>
      <w:pPr>
        <w:pStyle w:val="Heading1"/>
      </w:pPr>
      <w:r>
        <w:t>10. Indirect Identifiers</w:t>
      </w:r>
    </w:p>
    <w:p>
      <w:r>
        <w:t>Location, device identifiers, behavioural patterns and combinations of attributes may identify a person even without a name.</w:t>
      </w:r>
    </w:p>
    <w:p>
      <w:pPr>
        <w:pStyle w:val="Heading1"/>
      </w:pPr>
      <w:r>
        <w:t>11. Inferred Information</w:t>
      </w:r>
    </w:p>
    <w:p>
      <w:r>
        <w:t>AI-generated predictions, classifications and inferred preferences about identifiable people may create privacy risk and require governance.</w:t>
      </w:r>
    </w:p>
    <w:p>
      <w:pPr>
        <w:pStyle w:val="Heading1"/>
      </w:pPr>
      <w:r>
        <w:t>12. Special Personal Information</w:t>
      </w:r>
    </w:p>
    <w:p>
      <w:r>
        <w:t>Higher-risk categories require heightened controls and lawful justification according to applicable law.</w:t>
      </w:r>
    </w:p>
    <w:p>
      <w:pPr>
        <w:pStyle w:val="Heading1"/>
      </w:pPr>
      <w:r>
        <w:t>13. Children's Information</w:t>
      </w:r>
    </w:p>
    <w:p>
      <w:r>
        <w:t>Information about children requires heightened protection and specific lawful handling.</w:t>
      </w:r>
    </w:p>
    <w:p>
      <w:pPr>
        <w:pStyle w:val="Heading1"/>
      </w:pPr>
      <w:r>
        <w:t>14. Accountability</w:t>
      </w:r>
    </w:p>
    <w:p>
      <w:r>
        <w:t>A responsible owner must be identifiable for material personal-information processing.</w:t>
      </w:r>
    </w:p>
    <w:p>
      <w:pPr>
        <w:pStyle w:val="Heading1"/>
      </w:pPr>
      <w:r>
        <w:t>15. Privacy Inventory</w:t>
      </w:r>
    </w:p>
    <w:p>
      <w:r>
        <w:t>Systems processing personal information SHOULD record categories, purpose, source, recipients, retention, location and responsible owner.</w:t>
      </w:r>
    </w:p>
    <w:p>
      <w:pPr>
        <w:pStyle w:val="Heading1"/>
      </w:pPr>
      <w:r>
        <w:t>16. Purpose Definition</w:t>
      </w:r>
    </w:p>
    <w:p>
      <w:r>
        <w:t>Define processing purpose before collection or reuse.</w:t>
      </w:r>
    </w:p>
    <w:p>
      <w:pPr>
        <w:pStyle w:val="Heading1"/>
      </w:pPr>
      <w:r>
        <w:t>17. Processing Limitation</w:t>
      </w:r>
    </w:p>
    <w:p>
      <w:r>
        <w:t>Process only what is adequate, relevant and not excessive for the purpose.</w:t>
      </w:r>
    </w:p>
    <w:p>
      <w:pPr>
        <w:pStyle w:val="Heading1"/>
      </w:pPr>
      <w:r>
        <w:t>18. Lawful Basis</w:t>
      </w:r>
    </w:p>
    <w:p>
      <w:r>
        <w:t>Material processing must identify an applicable lawful justification under relevant law. Engineering teams must not assume consent is always the correct basis.</w:t>
      </w:r>
    </w:p>
    <w:p>
      <w:pPr>
        <w:pStyle w:val="Heading1"/>
      </w:pPr>
      <w:r>
        <w:t>19. Consent</w:t>
      </w:r>
    </w:p>
    <w:p>
      <w:r>
        <w:t>Where consent is relied upon, it should be informed, specific enough for purpose, demonstrable and capable of withdrawal where required.</w:t>
      </w:r>
    </w:p>
    <w:p>
      <w:pPr>
        <w:pStyle w:val="Heading1"/>
      </w:pPr>
      <w:r>
        <w:t>20. Contractual Necessity</w:t>
      </w:r>
    </w:p>
    <w:p>
      <w:r>
        <w:t>Processing claimed as necessary for a contract must be genuinely necessary, not merely convenient.</w:t>
      </w:r>
    </w:p>
    <w:p>
      <w:pPr>
        <w:pStyle w:val="Heading1"/>
      </w:pPr>
      <w:r>
        <w:t>21. Legal Obligation</w:t>
      </w:r>
    </w:p>
    <w:p>
      <w:r>
        <w:t>Where processing is required by law, record the applicable obligation through appropriate governance.</w:t>
      </w:r>
    </w:p>
    <w:p>
      <w:pPr>
        <w:pStyle w:val="Heading1"/>
      </w:pPr>
      <w:r>
        <w:t>22. Legitimate Interests</w:t>
      </w:r>
    </w:p>
    <w:p>
      <w:r>
        <w:t>Where relevant legal frameworks permit interest balancing, document the assessment rather than assuming business benefit overrides privacy.</w:t>
      </w:r>
    </w:p>
    <w:p>
      <w:pPr>
        <w:pStyle w:val="Heading1"/>
      </w:pPr>
      <w:r>
        <w:t>23. Collection from Data Subject</w:t>
      </w:r>
    </w:p>
    <w:p>
      <w:r>
        <w:t>Prefer transparent direct collection where appropriate.</w:t>
      </w:r>
    </w:p>
    <w:p>
      <w:pPr>
        <w:pStyle w:val="Heading1"/>
      </w:pPr>
      <w:r>
        <w:t>24. Indirect Collection</w:t>
      </w:r>
    </w:p>
    <w:p>
      <w:r>
        <w:t>When data comes from third parties, public sources or inference, assess authority, expectations and notification obligations.</w:t>
      </w:r>
    </w:p>
    <w:p>
      <w:pPr>
        <w:pStyle w:val="Heading1"/>
      </w:pPr>
      <w:r>
        <w:t>25. Publicly Available Data</w:t>
      </w:r>
    </w:p>
    <w:p>
      <w:r>
        <w:t>Public availability does not automatically remove privacy obligations or ethical risk.</w:t>
      </w:r>
    </w:p>
    <w:p>
      <w:pPr>
        <w:pStyle w:val="Heading1"/>
      </w:pPr>
      <w:r>
        <w:t>26. Web Scraping</w:t>
      </w:r>
    </w:p>
    <w:p>
      <w:r>
        <w:t>Scraping personal information requires legal, contractual, technical and ethical review.</w:t>
      </w:r>
    </w:p>
    <w:p>
      <w:pPr>
        <w:pStyle w:val="Heading1"/>
      </w:pPr>
      <w:r>
        <w:t>27. Purpose Specification</w:t>
      </w:r>
    </w:p>
    <w:p>
      <w:r>
        <w:t>Record why information is collected and how long it is needed.</w:t>
      </w:r>
    </w:p>
    <w:p>
      <w:pPr>
        <w:pStyle w:val="Heading1"/>
      </w:pPr>
      <w:r>
        <w:t>28. Further Processing</w:t>
      </w:r>
    </w:p>
    <w:p>
      <w:r>
        <w:t>New uses must be compatible with original purpose or separately justified.</w:t>
      </w:r>
    </w:p>
    <w:p>
      <w:pPr>
        <w:pStyle w:val="Heading1"/>
      </w:pPr>
      <w:r>
        <w:t>29. AI Reuse</w:t>
      </w:r>
    </w:p>
    <w:p>
      <w:r>
        <w:t>Do not silently reuse operational personal information for model training, fine-tuning or unrelated evaluation.</w:t>
      </w:r>
    </w:p>
    <w:p>
      <w:pPr>
        <w:pStyle w:val="Heading1"/>
      </w:pPr>
      <w:r>
        <w:t>30. Data Minimisation</w:t>
      </w:r>
    </w:p>
    <w:p>
      <w:r>
        <w:t>Collect the least information necessary and avoid speculative future collection.</w:t>
      </w:r>
    </w:p>
    <w:p>
      <w:pPr>
        <w:pStyle w:val="Heading1"/>
      </w:pPr>
      <w:r>
        <w:t>31. Precision Minimisation</w:t>
      </w:r>
    </w:p>
    <w:p>
      <w:r>
        <w:t>Use coarse location, age bands or reduced precision where exact values are unnecessary.</w:t>
      </w:r>
    </w:p>
    <w:p>
      <w:pPr>
        <w:pStyle w:val="Heading1"/>
      </w:pPr>
      <w:r>
        <w:t>32. Frequency Minimisation</w:t>
      </w:r>
    </w:p>
    <w:p>
      <w:r>
        <w:t>Do not collect continuous behavioural data when occasional data is sufficient.</w:t>
      </w:r>
    </w:p>
    <w:p>
      <w:pPr>
        <w:pStyle w:val="Heading1"/>
      </w:pPr>
      <w:r>
        <w:t>33. Retention Minimisation</w:t>
      </w:r>
    </w:p>
    <w:p>
      <w:r>
        <w:t>Delete or de-identify information when purpose and obligations expire.</w:t>
      </w:r>
    </w:p>
    <w:p>
      <w:pPr>
        <w:pStyle w:val="Heading1"/>
      </w:pPr>
      <w:r>
        <w:t>34. Privacy by Default</w:t>
      </w:r>
    </w:p>
    <w:p>
      <w:r>
        <w:t>Default settings should favour the least exposure consistent with core service.</w:t>
      </w:r>
    </w:p>
    <w:p>
      <w:pPr>
        <w:pStyle w:val="Heading1"/>
      </w:pPr>
      <w:r>
        <w:t>35. Privacy by Design</w:t>
      </w:r>
    </w:p>
    <w:p>
      <w:r>
        <w:t>Assess privacy during architecture, not after implementation.</w:t>
      </w:r>
    </w:p>
    <w:p>
      <w:pPr>
        <w:pStyle w:val="Heading1"/>
      </w:pPr>
      <w:r>
        <w:t>36. Privacy Impact Assessment</w:t>
      </w:r>
    </w:p>
    <w:p>
      <w:r>
        <w:t>High-risk or novel processing SHOULD undergo a documented privacy impact assessment before production.</w:t>
      </w:r>
    </w:p>
    <w:p>
      <w:pPr>
        <w:pStyle w:val="Heading1"/>
      </w:pPr>
      <w:r>
        <w:t>37. PIA Triggers</w:t>
      </w:r>
    </w:p>
    <w:p>
      <w:r>
        <w:t>Examples: large-scale profiling, sensitive information, children, precise location, biometrics, autonomous consequential decisions, new surveillance, cross-border AI processing.</w:t>
      </w:r>
    </w:p>
    <w:p>
      <w:pPr>
        <w:pStyle w:val="Heading1"/>
      </w:pPr>
      <w:r>
        <w:t>38. Information Quality</w:t>
      </w:r>
    </w:p>
    <w:p>
      <w:r>
        <w:t>Take reasonable steps to ensure personal information is complete, accurate, not misleading and updated where necessary for purpose.</w:t>
      </w:r>
    </w:p>
    <w:p>
      <w:pPr>
        <w:pStyle w:val="Heading1"/>
      </w:pPr>
      <w:r>
        <w:t>39. Correction</w:t>
      </w:r>
    </w:p>
    <w:p>
      <w:r>
        <w:t>Provide processes to correct inaccurate information where applicable.</w:t>
      </w:r>
    </w:p>
    <w:p>
      <w:pPr>
        <w:pStyle w:val="Heading1"/>
      </w:pPr>
      <w:r>
        <w:t>40. Provenance</w:t>
      </w:r>
    </w:p>
    <w:p>
      <w:r>
        <w:t>Record source and confidence for inferred or third-party information where decisions depend on it.</w:t>
      </w:r>
    </w:p>
    <w:p>
      <w:pPr>
        <w:pStyle w:val="Heading1"/>
      </w:pPr>
      <w:r>
        <w:t>41. Transparency</w:t>
      </w:r>
    </w:p>
    <w:p>
      <w:r>
        <w:t>Provide clear information about material processing in language appropriate to audience.</w:t>
      </w:r>
    </w:p>
    <w:p>
      <w:pPr>
        <w:pStyle w:val="Heading1"/>
      </w:pPr>
      <w:r>
        <w:t>42. Privacy Notices</w:t>
      </w:r>
    </w:p>
    <w:p>
      <w:r>
        <w:t>Notices should describe responsible party, purpose, categories, recipients, rights, retention approach and contact mechanisms as applicable.</w:t>
      </w:r>
    </w:p>
    <w:p>
      <w:pPr>
        <w:pStyle w:val="Heading1"/>
      </w:pPr>
      <w:r>
        <w:t>43. Layered Notices</w:t>
      </w:r>
    </w:p>
    <w:p>
      <w:r>
        <w:t>Use concise primary notices with accessible detail where complexity warrants it.</w:t>
      </w:r>
    </w:p>
    <w:p>
      <w:pPr>
        <w:pStyle w:val="Heading1"/>
      </w:pPr>
      <w:r>
        <w:t>44. AI Transparency</w:t>
      </w:r>
    </w:p>
    <w:p>
      <w:r>
        <w:t>Where AI materially affects people, disclose meaningful use and limitations according to context and law.</w:t>
      </w:r>
    </w:p>
    <w:p>
      <w:pPr>
        <w:pStyle w:val="Heading1"/>
      </w:pPr>
      <w:r>
        <w:t>45. Automated Decisions</w:t>
      </w:r>
    </w:p>
    <w:p>
      <w:r>
        <w:t>Consequential solely automated decisions require heightened legal and governance review.</w:t>
      </w:r>
    </w:p>
    <w:p>
      <w:pPr>
        <w:pStyle w:val="Heading1"/>
      </w:pPr>
      <w:r>
        <w:t>46. Human Oversight</w:t>
      </w:r>
    </w:p>
    <w:p>
      <w:r>
        <w:t>Human review must be meaningful, not a rubber stamp.</w:t>
      </w:r>
    </w:p>
    <w:p>
      <w:pPr>
        <w:pStyle w:val="Heading1"/>
      </w:pPr>
      <w:r>
        <w:t>47. Contestability</w:t>
      </w:r>
    </w:p>
    <w:p>
      <w:r>
        <w:t>Where feasible and appropriate, provide a path to challenge consequential outcomes.</w:t>
      </w:r>
    </w:p>
    <w:p>
      <w:pPr>
        <w:pStyle w:val="Heading1"/>
      </w:pPr>
      <w:r>
        <w:t>48. Explanation</w:t>
      </w:r>
    </w:p>
    <w:p>
      <w:r>
        <w:t>Preserve enough decision provenance to explain material factors without exposing security secrets or third-party rights.</w:t>
      </w:r>
    </w:p>
    <w:p>
      <w:pPr>
        <w:pStyle w:val="Heading1"/>
      </w:pPr>
      <w:r>
        <w:t>49. Profiling</w:t>
      </w:r>
    </w:p>
    <w:p>
      <w:r>
        <w:t>Profiling identifiable people requires purpose, proportionality, quality and bias review.</w:t>
      </w:r>
    </w:p>
    <w:p>
      <w:pPr>
        <w:pStyle w:val="Heading1"/>
      </w:pPr>
      <w:r>
        <w:t>50. Behavioural Tracking</w:t>
      </w:r>
    </w:p>
    <w:p>
      <w:r>
        <w:t>Tracking across contexts requires heightened transparency and minimisation.</w:t>
      </w:r>
    </w:p>
    <w:p>
      <w:pPr>
        <w:pStyle w:val="Heading1"/>
      </w:pPr>
      <w:r>
        <w:t>51. Location Data</w:t>
      </w:r>
    </w:p>
    <w:p>
      <w:r>
        <w:t>Precise location is high-risk and should be collected only when necessary.</w:t>
      </w:r>
    </w:p>
    <w:p>
      <w:pPr>
        <w:pStyle w:val="Heading1"/>
      </w:pPr>
      <w:r>
        <w:t>52. Biometric Data</w:t>
      </w:r>
    </w:p>
    <w:p>
      <w:r>
        <w:t>Biometric processing requires heightened security and lawful justification.</w:t>
      </w:r>
    </w:p>
    <w:p>
      <w:pPr>
        <w:pStyle w:val="Heading1"/>
      </w:pPr>
      <w:r>
        <w:t>53. Identity Numbers</w:t>
      </w:r>
    </w:p>
    <w:p>
      <w:r>
        <w:t>National identifiers and similar identifiers require strict access and masking.</w:t>
      </w:r>
    </w:p>
    <w:p>
      <w:pPr>
        <w:pStyle w:val="Heading1"/>
      </w:pPr>
      <w:r>
        <w:t>54. Financial Information</w:t>
      </w:r>
    </w:p>
    <w:p>
      <w:r>
        <w:t>Financial information requires strong confidentiality and access controls.</w:t>
      </w:r>
    </w:p>
    <w:p>
      <w:pPr>
        <w:pStyle w:val="Heading1"/>
      </w:pPr>
      <w:r>
        <w:t>55. Communications</w:t>
      </w:r>
    </w:p>
    <w:p>
      <w:r>
        <w:t>Email, chat and message content may contain personal and confidential information and should not be ingested broadly without purpose.</w:t>
      </w:r>
    </w:p>
    <w:p>
      <w:pPr>
        <w:pStyle w:val="Heading1"/>
      </w:pPr>
      <w:r>
        <w:t>56. Contacts</w:t>
      </w:r>
    </w:p>
    <w:p>
      <w:r>
        <w:t>Address books and contact graphs reveal relationships and require minimisation.</w:t>
      </w:r>
    </w:p>
    <w:p>
      <w:pPr>
        <w:pStyle w:val="Heading1"/>
      </w:pPr>
      <w:r>
        <w:t>57. Device Data</w:t>
      </w:r>
    </w:p>
    <w:p>
      <w:r>
        <w:t>Device fingerprints and persistent identifiers can be personal information.</w:t>
      </w:r>
    </w:p>
    <w:p>
      <w:pPr>
        <w:pStyle w:val="Heading1"/>
      </w:pPr>
      <w:r>
        <w:t>58. Cookies and Trackers</w:t>
      </w:r>
    </w:p>
    <w:p>
      <w:r>
        <w:t>Use only with documented purpose, classification and applicable consent/notice controls.</w:t>
      </w:r>
    </w:p>
    <w:p>
      <w:pPr>
        <w:pStyle w:val="Heading1"/>
      </w:pPr>
      <w:r>
        <w:t>59. Telemetry</w:t>
      </w:r>
    </w:p>
    <w:p>
      <w:r>
        <w:t>Logs and traces should minimise personal information according to STD-010.</w:t>
      </w:r>
    </w:p>
    <w:p>
      <w:pPr>
        <w:pStyle w:val="Heading1"/>
      </w:pPr>
      <w:r>
        <w:t>60. IP Addresses</w:t>
      </w:r>
    </w:p>
    <w:p>
      <w:r>
        <w:t>Treat IP addresses and related network identifiers as potentially personal information depending on context.</w:t>
      </w:r>
    </w:p>
    <w:p>
      <w:pPr>
        <w:pStyle w:val="Heading1"/>
      </w:pPr>
      <w:r>
        <w:t>61. AI Prompts</w:t>
      </w:r>
    </w:p>
    <w:p>
      <w:r>
        <w:t>Prompts may contain personal information intentionally or accidentally.</w:t>
      </w:r>
    </w:p>
    <w:p>
      <w:pPr>
        <w:pStyle w:val="Heading1"/>
      </w:pPr>
      <w:r>
        <w:t>62. Prompt Minimisation</w:t>
      </w:r>
    </w:p>
    <w:p>
      <w:r>
        <w:t>Remove or mask identifiers before provider transmission where they are unnecessary.</w:t>
      </w:r>
    </w:p>
    <w:p>
      <w:pPr>
        <w:pStyle w:val="Heading1"/>
      </w:pPr>
      <w:r>
        <w:t>63. AI Outputs</w:t>
      </w:r>
    </w:p>
    <w:p>
      <w:r>
        <w:t>Outputs may reveal, infer or hallucinate personal information and require appropriate controls.</w:t>
      </w:r>
    </w:p>
    <w:p>
      <w:pPr>
        <w:pStyle w:val="Heading1"/>
      </w:pPr>
      <w:r>
        <w:t>64. Hallucinated Personal Information</w:t>
      </w:r>
    </w:p>
    <w:p>
      <w:r>
        <w:t>Do not treat model-generated claims about people as verified facts.</w:t>
      </w:r>
    </w:p>
    <w:p>
      <w:pPr>
        <w:pStyle w:val="Heading1"/>
      </w:pPr>
      <w:r>
        <w:t>65. AI Providers</w:t>
      </w:r>
    </w:p>
    <w:p>
      <w:r>
        <w:t>Review provider terms, retention, training use, sub-processors, region and security before sending personal information.</w:t>
      </w:r>
    </w:p>
    <w:p>
      <w:pPr>
        <w:pStyle w:val="Heading1"/>
      </w:pPr>
      <w:r>
        <w:t>66. Provider Configuration</w:t>
      </w:r>
    </w:p>
    <w:p>
      <w:r>
        <w:t>Use privacy-protective settings where available and appropriate.</w:t>
      </w:r>
    </w:p>
    <w:p>
      <w:pPr>
        <w:pStyle w:val="Heading1"/>
      </w:pPr>
      <w:r>
        <w:t>67. Provider Switching</w:t>
      </w:r>
    </w:p>
    <w:p>
      <w:r>
        <w:t>A model/provider change can alter privacy risk and requires review.</w:t>
      </w:r>
    </w:p>
    <w:p>
      <w:pPr>
        <w:pStyle w:val="Heading1"/>
      </w:pPr>
      <w:r>
        <w:t>68. Local Models</w:t>
      </w:r>
    </w:p>
    <w:p>
      <w:r>
        <w:t>Local processing may reduce external disclosure but does not eliminate privacy obligations.</w:t>
      </w:r>
    </w:p>
    <w:p>
      <w:pPr>
        <w:pStyle w:val="Heading1"/>
      </w:pPr>
      <w:r>
        <w:t>69. Model Training</w:t>
      </w:r>
    </w:p>
    <w:p>
      <w:r>
        <w:t>Training on personal information requires explicit governance, rights analysis, provenance and security.</w:t>
      </w:r>
    </w:p>
    <w:p>
      <w:pPr>
        <w:pStyle w:val="Heading1"/>
      </w:pPr>
      <w:r>
        <w:t>70. Fine-Tuning</w:t>
      </w:r>
    </w:p>
    <w:p>
      <w:r>
        <w:t>Fine-tuning datasets must be reviewed for unintended personal information and memorisation risk.</w:t>
      </w:r>
    </w:p>
    <w:p>
      <w:pPr>
        <w:pStyle w:val="Heading1"/>
      </w:pPr>
      <w:r>
        <w:t>71. Memorisation</w:t>
      </w:r>
    </w:p>
    <w:p>
      <w:r>
        <w:t>Models may reproduce training content; evaluate leakage risk for sensitive datasets.</w:t>
      </w:r>
    </w:p>
    <w:p>
      <w:pPr>
        <w:pStyle w:val="Heading1"/>
      </w:pPr>
      <w:r>
        <w:t>72. Evaluation Datasets</w:t>
      </w:r>
    </w:p>
    <w:p>
      <w:r>
        <w:t>Protect personal information in evaluation sets and prefer synthetic/de-identified cases.</w:t>
      </w:r>
    </w:p>
    <w:p>
      <w:pPr>
        <w:pStyle w:val="Heading1"/>
      </w:pPr>
      <w:r>
        <w:t>73. Embeddings</w:t>
      </w:r>
    </w:p>
    <w:p>
      <w:r>
        <w:t>Embeddings are not assumed anonymous and remain governed derived data.</w:t>
      </w:r>
    </w:p>
    <w:p>
      <w:pPr>
        <w:pStyle w:val="Heading1"/>
      </w:pPr>
      <w:r>
        <w:t>74. Vector Stores</w:t>
      </w:r>
    </w:p>
    <w:p>
      <w:r>
        <w:t>Apply tenant isolation, retention and deletion propagation.</w:t>
      </w:r>
    </w:p>
    <w:p>
      <w:pPr>
        <w:pStyle w:val="Heading1"/>
      </w:pPr>
      <w:r>
        <w:t>75. RAG</w:t>
      </w:r>
    </w:p>
    <w:p>
      <w:r>
        <w:t>Retrieved personal information must be authorised for the requesting context.</w:t>
      </w:r>
    </w:p>
    <w:p>
      <w:pPr>
        <w:pStyle w:val="Heading1"/>
      </w:pPr>
      <w:r>
        <w:t>76. AI Memory</w:t>
      </w:r>
    </w:p>
    <w:p>
      <w:r>
        <w:t>Persistent memory about identifiable users requires explicit purpose, scope and retention.</w:t>
      </w:r>
    </w:p>
    <w:p>
      <w:pPr>
        <w:pStyle w:val="Heading1"/>
      </w:pPr>
      <w:r>
        <w:t>77. Memory Consent and Expectations</w:t>
      </w:r>
    </w:p>
    <w:p>
      <w:r>
        <w:t>Where appropriate, make persistent memory visible and controllable to users.</w:t>
      </w:r>
    </w:p>
    <w:p>
      <w:pPr>
        <w:pStyle w:val="Heading1"/>
      </w:pPr>
      <w:r>
        <w:t>78. Memory Minimisation</w:t>
      </w:r>
    </w:p>
    <w:p>
      <w:r>
        <w:t>Do not persist every conversation detail.</w:t>
      </w:r>
    </w:p>
    <w:p>
      <w:pPr>
        <w:pStyle w:val="Heading1"/>
      </w:pPr>
      <w:r>
        <w:t>79. Sensitive Memory</w:t>
      </w:r>
    </w:p>
    <w:p>
      <w:r>
        <w:t>Avoid storing highly sensitive personal information unless clearly necessary and strongly governed.</w:t>
      </w:r>
    </w:p>
    <w:p>
      <w:pPr>
        <w:pStyle w:val="Heading1"/>
      </w:pPr>
      <w:r>
        <w:t>80. Memory Correction</w:t>
      </w:r>
    </w:p>
    <w:p>
      <w:r>
        <w:t>Provide mechanisms to correct inaccurate persistent memory.</w:t>
      </w:r>
    </w:p>
    <w:p>
      <w:pPr>
        <w:pStyle w:val="Heading1"/>
      </w:pPr>
      <w:r>
        <w:t>81. Memory Deletion</w:t>
      </w:r>
    </w:p>
    <w:p>
      <w:r>
        <w:t>Deletion must address primary memory and linked derived indexes where feasible.</w:t>
      </w:r>
    </w:p>
    <w:p>
      <w:pPr>
        <w:pStyle w:val="Heading1"/>
      </w:pPr>
      <w:r>
        <w:t>82. Memory Isolation</w:t>
      </w:r>
    </w:p>
    <w:p>
      <w:r>
        <w:t>Prevent one user or tenant from retrieving another's memory.</w:t>
      </w:r>
    </w:p>
    <w:p>
      <w:pPr>
        <w:pStyle w:val="Heading1"/>
      </w:pPr>
      <w:r>
        <w:t>83. Inference from Memory</w:t>
      </w:r>
    </w:p>
    <w:p>
      <w:r>
        <w:t>New sensitive inferences require separate risk consideration.</w:t>
      </w:r>
    </w:p>
    <w:p>
      <w:pPr>
        <w:pStyle w:val="Heading1"/>
      </w:pPr>
      <w:r>
        <w:t>84. Knowledge Systems</w:t>
      </w:r>
    </w:p>
    <w:p>
      <w:r>
        <w:t>Knowledge ingestion may contain personal information from documents and connected systems.</w:t>
      </w:r>
    </w:p>
    <w:p>
      <w:pPr>
        <w:pStyle w:val="Heading1"/>
      </w:pPr>
      <w:r>
        <w:t>85. Connected Sources</w:t>
      </w:r>
    </w:p>
    <w:p>
      <w:r>
        <w:t>Access to email, calendars, drives and enterprise systems must preserve source permissions and purpose.</w:t>
      </w:r>
    </w:p>
    <w:p>
      <w:pPr>
        <w:pStyle w:val="Heading1"/>
      </w:pPr>
      <w:r>
        <w:t>86. Permission Mirroring</w:t>
      </w:r>
    </w:p>
    <w:p>
      <w:r>
        <w:t>Retrieval systems should not broaden access beyond source authority.</w:t>
      </w:r>
    </w:p>
    <w:p>
      <w:pPr>
        <w:pStyle w:val="Heading1"/>
      </w:pPr>
      <w:r>
        <w:t>87. Search Results</w:t>
      </w:r>
    </w:p>
    <w:p>
      <w:r>
        <w:t>Search snippets can leak personal information and require access controls.</w:t>
      </w:r>
    </w:p>
    <w:p>
      <w:pPr>
        <w:pStyle w:val="Heading1"/>
      </w:pPr>
      <w:r>
        <w:t>88. Plugins</w:t>
      </w:r>
    </w:p>
    <w:p>
      <w:r>
        <w:t>Plugins receive only personal information necessary for declared function.</w:t>
      </w:r>
    </w:p>
    <w:p>
      <w:pPr>
        <w:pStyle w:val="Heading1"/>
      </w:pPr>
      <w:r>
        <w:t>89. Agent Access</w:t>
      </w:r>
    </w:p>
    <w:p>
      <w:r>
        <w:t>Agents operate under least privilege and task scope.</w:t>
      </w:r>
    </w:p>
    <w:p>
      <w:pPr>
        <w:pStyle w:val="Heading1"/>
      </w:pPr>
      <w:r>
        <w:t>90. Autonomous Actions</w:t>
      </w:r>
    </w:p>
    <w:p>
      <w:r>
        <w:t>Agents must not autonomously disclose personal information to external recipients without explicit authority.</w:t>
      </w:r>
    </w:p>
    <w:p>
      <w:pPr>
        <w:pStyle w:val="Heading1"/>
      </w:pPr>
      <w:r>
        <w:t>91. Email and Messaging Tools</w:t>
      </w:r>
    </w:p>
    <w:p>
      <w:r>
        <w:t>Before sending externally, verify recipient, purpose and sensitivity where impact is material.</w:t>
      </w:r>
    </w:p>
    <w:p>
      <w:pPr>
        <w:pStyle w:val="Heading1"/>
      </w:pPr>
      <w:r>
        <w:t>92. Bulk Actions</w:t>
      </w:r>
    </w:p>
    <w:p>
      <w:r>
        <w:t>Bulk export, messaging or profiling requires heightened approval.</w:t>
      </w:r>
    </w:p>
    <w:p>
      <w:pPr>
        <w:pStyle w:val="Heading1"/>
      </w:pPr>
      <w:r>
        <w:t>93. Agent Delegation</w:t>
      </w:r>
    </w:p>
    <w:p>
      <w:r>
        <w:t>Delegated agents must not inherit broader personal-information access than required.</w:t>
      </w:r>
    </w:p>
    <w:p>
      <w:pPr>
        <w:pStyle w:val="Heading1"/>
      </w:pPr>
      <w:r>
        <w:t>94. Autonomous Organisations</w:t>
      </w:r>
    </w:p>
    <w:p>
      <w:r>
        <w:t>Future autonomous organisations require policy boundaries for employee, customer, applicant and partner information.</w:t>
      </w:r>
    </w:p>
    <w:p>
      <w:pPr>
        <w:pStyle w:val="Heading1"/>
      </w:pPr>
      <w:r>
        <w:t>95. Surveillance Risk</w:t>
      </w:r>
    </w:p>
    <w:p>
      <w:r>
        <w:t>SynapseOS must not normalise covert employee or individual surveillance as a default capability.</w:t>
      </w:r>
    </w:p>
    <w:p>
      <w:pPr>
        <w:pStyle w:val="Heading1"/>
      </w:pPr>
      <w:r>
        <w:t>96. Data Subject Requests</w:t>
      </w:r>
    </w:p>
    <w:p>
      <w:r>
        <w:t>Systems should support applicable requests for access, correction, deletion/objection and related rights.</w:t>
      </w:r>
    </w:p>
    <w:p>
      <w:pPr>
        <w:pStyle w:val="Heading1"/>
      </w:pPr>
      <w:r>
        <w:t>97. Identity Verification</w:t>
      </w:r>
    </w:p>
    <w:p>
      <w:r>
        <w:t>Verify requesters proportionately before disclosing or altering personal information.</w:t>
      </w:r>
    </w:p>
    <w:p>
      <w:pPr>
        <w:pStyle w:val="Heading1"/>
      </w:pPr>
      <w:r>
        <w:t>98. Access Requests</w:t>
      </w:r>
    </w:p>
    <w:p>
      <w:r>
        <w:t>Provide relevant information without exposing other people's rights or security-sensitive data.</w:t>
      </w:r>
    </w:p>
    <w:p>
      <w:pPr>
        <w:pStyle w:val="Heading1"/>
      </w:pPr>
      <w:r>
        <w:t>99. Correction Requests</w:t>
      </w:r>
    </w:p>
    <w:p>
      <w:r>
        <w:t>Record correction and propagate to dependent systems where required.</w:t>
      </w:r>
    </w:p>
    <w:p>
      <w:pPr>
        <w:pStyle w:val="Heading1"/>
      </w:pPr>
      <w:r>
        <w:t>100. Deletion Requests</w:t>
      </w:r>
    </w:p>
    <w:p>
      <w:r>
        <w:t>Assess legal/contractual retention constraints and propagate approved deletion.</w:t>
      </w:r>
    </w:p>
    <w:p>
      <w:pPr>
        <w:pStyle w:val="Heading1"/>
      </w:pPr>
      <w:r>
        <w:t>101. Objection</w:t>
      </w:r>
    </w:p>
    <w:p>
      <w:r>
        <w:t>Where applicable, support objection to certain processing.</w:t>
      </w:r>
    </w:p>
    <w:p>
      <w:pPr>
        <w:pStyle w:val="Heading1"/>
      </w:pPr>
      <w:r>
        <w:t>102. Consent Withdrawal</w:t>
      </w:r>
    </w:p>
    <w:p>
      <w:r>
        <w:t>Where consent is the basis, withdrawal should be as practical as giving consent.</w:t>
      </w:r>
    </w:p>
    <w:p>
      <w:pPr>
        <w:pStyle w:val="Heading1"/>
      </w:pPr>
      <w:r>
        <w:t>103. Request Logging</w:t>
      </w:r>
    </w:p>
    <w:p>
      <w:r>
        <w:t>Track requests and outcomes securely.</w:t>
      </w:r>
    </w:p>
    <w:p>
      <w:pPr>
        <w:pStyle w:val="Heading1"/>
      </w:pPr>
      <w:r>
        <w:t>104. Retention Schedule</w:t>
      </w:r>
    </w:p>
    <w:p>
      <w:r>
        <w:t>Personal-information categories require documented retention.</w:t>
      </w:r>
    </w:p>
    <w:p>
      <w:pPr>
        <w:pStyle w:val="Heading1"/>
      </w:pPr>
      <w:r>
        <w:t>105. Legal Holds</w:t>
      </w:r>
    </w:p>
    <w:p>
      <w:r>
        <w:t>Lawful holds override routine deletion only within authorised scope.</w:t>
      </w:r>
    </w:p>
    <w:p>
      <w:pPr>
        <w:pStyle w:val="Heading1"/>
      </w:pPr>
      <w:r>
        <w:t>106. Backups</w:t>
      </w:r>
    </w:p>
    <w:p>
      <w:r>
        <w:t>Document how deletion interacts with immutable backups and expiry.</w:t>
      </w:r>
    </w:p>
    <w:p>
      <w:pPr>
        <w:pStyle w:val="Heading1"/>
      </w:pPr>
      <w:r>
        <w:t>107. De-identification</w:t>
      </w:r>
    </w:p>
    <w:p>
      <w:r>
        <w:t>Use robust techniques and reassess re-identification risk.</w:t>
      </w:r>
    </w:p>
    <w:p>
      <w:pPr>
        <w:pStyle w:val="Heading1"/>
      </w:pPr>
      <w:r>
        <w:t>108. Pseudonymisation</w:t>
      </w:r>
    </w:p>
    <w:p>
      <w:r>
        <w:t>Keep re-identification keys separate and protected.</w:t>
      </w:r>
    </w:p>
    <w:p>
      <w:pPr>
        <w:pStyle w:val="Heading1"/>
      </w:pPr>
      <w:r>
        <w:t>109. Aggregation</w:t>
      </w:r>
    </w:p>
    <w:p>
      <w:r>
        <w:t>Use aggregation where individual-level data is unnecessary.</w:t>
      </w:r>
    </w:p>
    <w:p>
      <w:pPr>
        <w:pStyle w:val="Heading1"/>
      </w:pPr>
      <w:r>
        <w:t>110. Differential Privacy</w:t>
      </w:r>
    </w:p>
    <w:p>
      <w:r>
        <w:t>MAY be considered for statistical releases where justified by risk and expertise.</w:t>
      </w:r>
    </w:p>
    <w:p>
      <w:pPr>
        <w:pStyle w:val="Heading1"/>
      </w:pPr>
      <w:r>
        <w:t>111. Access Control</w:t>
      </w:r>
    </w:p>
    <w:p>
      <w:r>
        <w:t>Use role/capability-based least privilege.</w:t>
      </w:r>
    </w:p>
    <w:p>
      <w:pPr>
        <w:pStyle w:val="Heading1"/>
      </w:pPr>
      <w:r>
        <w:t>112. Privileged Access</w:t>
      </w:r>
    </w:p>
    <w:p>
      <w:r>
        <w:t>Administrative access to personal information requires strong authentication and audit.</w:t>
      </w:r>
    </w:p>
    <w:p>
      <w:pPr>
        <w:pStyle w:val="Heading1"/>
      </w:pPr>
      <w:r>
        <w:t>113. Encryption</w:t>
      </w:r>
    </w:p>
    <w:p>
      <w:r>
        <w:t>Use appropriate encryption in transit and at rest according to sensitivity.</w:t>
      </w:r>
    </w:p>
    <w:p>
      <w:pPr>
        <w:pStyle w:val="Heading1"/>
      </w:pPr>
      <w:r>
        <w:t>114. Secret Separation</w:t>
      </w:r>
    </w:p>
    <w:p>
      <w:r>
        <w:t>Do not place credentials in datasets or prompts.</w:t>
      </w:r>
    </w:p>
    <w:p>
      <w:pPr>
        <w:pStyle w:val="Heading1"/>
      </w:pPr>
      <w:r>
        <w:t>115. Masking</w:t>
      </w:r>
    </w:p>
    <w:p>
      <w:r>
        <w:t>Mask identifiers in user interfaces, logs and support tools where full values are unnecessary.</w:t>
      </w:r>
    </w:p>
    <w:p>
      <w:pPr>
        <w:pStyle w:val="Heading1"/>
      </w:pPr>
      <w:r>
        <w:t>116. Non-Production</w:t>
      </w:r>
    </w:p>
    <w:p>
      <w:r>
        <w:t>Do not copy production personal information into dev/test by default.</w:t>
      </w:r>
    </w:p>
    <w:p>
      <w:pPr>
        <w:pStyle w:val="Heading1"/>
      </w:pPr>
      <w:r>
        <w:t>117. Incident Response</w:t>
      </w:r>
    </w:p>
    <w:p>
      <w:r>
        <w:t>Privacy incidents follow STD-007 with legal/regulatory assessment.</w:t>
      </w:r>
    </w:p>
    <w:p>
      <w:pPr>
        <w:pStyle w:val="Heading1"/>
      </w:pPr>
      <w:r>
        <w:t>118. Breach Detection</w:t>
      </w:r>
    </w:p>
    <w:p>
      <w:r>
        <w:t>Monitor for unauthorised access, export, disclosure and abnormal agent behaviour.</w:t>
      </w:r>
    </w:p>
    <w:p>
      <w:pPr>
        <w:pStyle w:val="Heading1"/>
      </w:pPr>
      <w:r>
        <w:t>119. Breach Containment</w:t>
      </w:r>
    </w:p>
    <w:p>
      <w:r>
        <w:t>Revoke access, isolate affected systems and preserve evidence.</w:t>
      </w:r>
    </w:p>
    <w:p>
      <w:pPr>
        <w:pStyle w:val="Heading1"/>
      </w:pPr>
      <w:r>
        <w:t>120. Notification</w:t>
      </w:r>
    </w:p>
    <w:p>
      <w:r>
        <w:t>Potential notification duties must be assessed promptly by appropriate legal/privacy authority.</w:t>
      </w:r>
    </w:p>
    <w:p>
      <w:pPr>
        <w:pStyle w:val="Heading1"/>
      </w:pPr>
      <w:r>
        <w:t>121. Operators and Processors</w:t>
      </w:r>
    </w:p>
    <w:p>
      <w:r>
        <w:t>External operators/processors require appropriate contractual and security controls.</w:t>
      </w:r>
    </w:p>
    <w:p>
      <w:pPr>
        <w:pStyle w:val="Heading1"/>
      </w:pPr>
      <w:r>
        <w:t>122. Sub-Processors</w:t>
      </w:r>
    </w:p>
    <w:p>
      <w:r>
        <w:t>Track material sub-processors where required.</w:t>
      </w:r>
    </w:p>
    <w:p>
      <w:pPr>
        <w:pStyle w:val="Heading1"/>
      </w:pPr>
      <w:r>
        <w:t>123. Cross-Border Transfers</w:t>
      </w:r>
    </w:p>
    <w:p>
      <w:r>
        <w:t>Assess legal requirements and safeguards before transferring personal information across borders.</w:t>
      </w:r>
    </w:p>
    <w:p>
      <w:pPr>
        <w:pStyle w:val="Heading1"/>
      </w:pPr>
      <w:r>
        <w:t>124. Data Residency</w:t>
      </w:r>
    </w:p>
    <w:p>
      <w:r>
        <w:t>Residency requirements may constrain provider and region selection.</w:t>
      </w:r>
    </w:p>
    <w:p>
      <w:pPr>
        <w:pStyle w:val="Heading1"/>
      </w:pPr>
      <w:r>
        <w:t>125. Vendor Exit</w:t>
      </w:r>
    </w:p>
    <w:p>
      <w:r>
        <w:t>Ensure personal information can be exported and deleted appropriately when providers change.</w:t>
      </w:r>
    </w:p>
    <w:p>
      <w:pPr>
        <w:pStyle w:val="Heading1"/>
      </w:pPr>
      <w:r>
        <w:t>126. Privacy in APIs</w:t>
      </w:r>
    </w:p>
    <w:p>
      <w:r>
        <w:t>Apply field minimisation, authorisation, pagination and bulk-export controls.</w:t>
      </w:r>
    </w:p>
    <w:p>
      <w:pPr>
        <w:pStyle w:val="Heading1"/>
      </w:pPr>
      <w:r>
        <w:t>127. Privacy in Errors</w:t>
      </w:r>
    </w:p>
    <w:p>
      <w:r>
        <w:t>Errors must not reveal personal information unnecessarily.</w:t>
      </w:r>
    </w:p>
    <w:p>
      <w:pPr>
        <w:pStyle w:val="Heading1"/>
      </w:pPr>
      <w:r>
        <w:t>128. Privacy in URLs</w:t>
      </w:r>
    </w:p>
    <w:p>
      <w:r>
        <w:t>Do not place sensitive personal information in URLs where it may enter logs/history.</w:t>
      </w:r>
    </w:p>
    <w:p>
      <w:pPr>
        <w:pStyle w:val="Heading1"/>
      </w:pPr>
      <w:r>
        <w:t>129. Privacy in Analytics</w:t>
      </w:r>
    </w:p>
    <w:p>
      <w:r>
        <w:t>Use event minimisation and avoid unnecessary user-level tracking.</w:t>
      </w:r>
    </w:p>
    <w:p>
      <w:pPr>
        <w:pStyle w:val="Heading1"/>
      </w:pPr>
      <w:r>
        <w:t>130. Privacy in Support</w:t>
      </w:r>
    </w:p>
    <w:p>
      <w:r>
        <w:t>Support access should be time-bound and audited where possible.</w:t>
      </w:r>
    </w:p>
    <w:p>
      <w:pPr>
        <w:pStyle w:val="Heading1"/>
      </w:pPr>
      <w:r>
        <w:t>131. Privacy Testing</w:t>
      </w:r>
    </w:p>
    <w:p>
      <w:r>
        <w:t>Test tenant isolation, denied access, masking, deletion, consent/preference flows and provider configuration.</w:t>
      </w:r>
    </w:p>
    <w:p>
      <w:pPr>
        <w:pStyle w:val="Heading1"/>
      </w:pPr>
      <w:r>
        <w:t>132. Privacy Threat Modelling</w:t>
      </w:r>
    </w:p>
    <w:p>
      <w:r>
        <w:t>Consider inference, linkage, re-identification, insider misuse, accidental disclosure and autonomous exfiltration.</w:t>
      </w:r>
    </w:p>
    <w:p>
      <w:pPr>
        <w:pStyle w:val="Heading1"/>
      </w:pPr>
      <w:r>
        <w:t>133. Re-identification Testing</w:t>
      </w:r>
    </w:p>
    <w:p>
      <w:r>
        <w:t>For claimed anonymous datasets, assess realistic linkage risks.</w:t>
      </w:r>
    </w:p>
    <w:p>
      <w:pPr>
        <w:pStyle w:val="Heading1"/>
      </w:pPr>
      <w:r>
        <w:t>134. AI Red Teaming</w:t>
      </w:r>
    </w:p>
    <w:p>
      <w:r>
        <w:t>Test whether agents/models reveal personal information across users or from hidden context.</w:t>
      </w:r>
    </w:p>
    <w:p>
      <w:pPr>
        <w:pStyle w:val="Heading1"/>
      </w:pPr>
      <w:r>
        <w:t>135. Data Poisoning and Privacy</w:t>
      </w:r>
    </w:p>
    <w:p>
      <w:r>
        <w:t>Malicious inputs may cause an agent to expose unrelated private context; test these boundaries.</w:t>
      </w:r>
    </w:p>
    <w:p>
      <w:pPr>
        <w:pStyle w:val="Heading1"/>
      </w:pPr>
      <w:r>
        <w:t>136. Privacy Metrics</w:t>
      </w:r>
    </w:p>
    <w:p>
      <w:r>
        <w:t>Potential metrics: personal-data incidents, deletion completion, access-request time, high-risk processing reviews and stale retained datasets.</w:t>
      </w:r>
    </w:p>
    <w:p>
      <w:pPr>
        <w:pStyle w:val="Heading1"/>
      </w:pPr>
      <w:r>
        <w:t>137. Privacy Documentation</w:t>
      </w:r>
    </w:p>
    <w:p>
      <w:r>
        <w:t>Maintain processing records proportionate to legal and operational requirements.</w:t>
      </w:r>
    </w:p>
    <w:p>
      <w:pPr>
        <w:pStyle w:val="Heading1"/>
      </w:pPr>
      <w:r>
        <w:t>138. Change Review</w:t>
      </w:r>
    </w:p>
    <w:p>
      <w:r>
        <w:t>Reassess privacy when purpose, data category, provider, model, region, retention or autonomy changes.</w:t>
      </w:r>
    </w:p>
    <w:p>
      <w:pPr>
        <w:pStyle w:val="Heading1"/>
      </w:pPr>
      <w:r>
        <w:t>139. AI Agent Development</w:t>
      </w:r>
    </w:p>
    <w:p>
      <w:r>
        <w:t>Claude Code and other coding agents must not be given unnecessary production personal data.</w:t>
      </w:r>
    </w:p>
    <w:p>
      <w:pPr>
        <w:pStyle w:val="Heading1"/>
      </w:pPr>
      <w:r>
        <w:t>140. AI-Generated Code</w:t>
      </w:r>
    </w:p>
    <w:p>
      <w:r>
        <w:t>Review generated code for hidden telemetry, over-collection and accidental logging.</w:t>
      </w:r>
    </w:p>
    <w:p>
      <w:pPr>
        <w:pStyle w:val="Heading1"/>
      </w:pPr>
      <w:r>
        <w:t>141. AI Configuration</w:t>
      </w:r>
    </w:p>
    <w:p>
      <w:r>
        <w:t>Agents must not silently enable provider logging/training or weaken privacy settings.</w:t>
      </w:r>
    </w:p>
    <w:p>
      <w:pPr>
        <w:pStyle w:val="Heading1"/>
      </w:pPr>
      <w:r>
        <w:t>142. Public Repositories</w:t>
      </w:r>
    </w:p>
    <w:p>
      <w:r>
        <w:t>Before publishing code, datasets or examples, scan for personal information and secrets.</w:t>
      </w:r>
    </w:p>
    <w:p>
      <w:pPr>
        <w:pStyle w:val="Heading1"/>
      </w:pPr>
      <w:r>
        <w:t>143. Research</w:t>
      </w:r>
    </w:p>
    <w:p>
      <w:r>
        <w:t>Research use of personal information requires explicit governance and separation from routine production use.</w:t>
      </w:r>
    </w:p>
    <w:p>
      <w:pPr>
        <w:pStyle w:val="Heading1"/>
      </w:pPr>
      <w:r>
        <w:t>144. Open Source</w:t>
      </w:r>
    </w:p>
    <w:p>
      <w:r>
        <w:t>Open-source publication does not justify publishing user data, prompts or evaluation records containing personal information.</w:t>
      </w:r>
    </w:p>
    <w:p>
      <w:pPr>
        <w:pStyle w:val="Heading1"/>
      </w:pPr>
      <w:r>
        <w:t>145. Children's Systems</w:t>
      </w:r>
    </w:p>
    <w:p>
      <w:r>
        <w:t>Products directed at children require dedicated privacy design, age considerations and legal review.</w:t>
      </w:r>
    </w:p>
    <w:p>
      <w:pPr>
        <w:pStyle w:val="Heading1"/>
      </w:pPr>
      <w:r>
        <w:t>146. Employment Context</w:t>
      </w:r>
    </w:p>
    <w:p>
      <w:r>
        <w:t>Employee monitoring and automated evaluation require heightened proportionality, transparency and legal review.</w:t>
      </w:r>
    </w:p>
    <w:p>
      <w:pPr>
        <w:pStyle w:val="Heading1"/>
      </w:pPr>
      <w:r>
        <w:t>147. High-Risk Domains</w:t>
      </w:r>
    </w:p>
    <w:p>
      <w:r>
        <w:t>Health, finance, employment, education, insurance, legal and public-sector uses require stronger review when AI affects individuals.</w:t>
      </w:r>
    </w:p>
    <w:p>
      <w:pPr>
        <w:pStyle w:val="Heading1"/>
      </w:pPr>
      <w:r>
        <w:t>148. Prohibited Practices</w:t>
      </w:r>
    </w:p>
    <w:p>
      <w:r>
        <w:t>• Silent unrelated AI training on user personal information.</w:t>
        <w:br/>
        <w:t>• Unrestricted cross-user memory retrieval.</w:t>
        <w:br/>
        <w:t>• Logging passwords or identity documents.</w:t>
        <w:br/>
        <w:t>• Treating public web data as privacy-free.</w:t>
        <w:br/>
        <w:t>• Sending personal information to new AI providers without review.</w:t>
        <w:br/>
        <w:t>• Claiming anonymisation without assessment.</w:t>
        <w:br/>
        <w:t>• Autonomous external disclosure without authority.</w:t>
        <w:br/>
        <w:t>• Covert surveillance as a default feature.</w:t>
      </w:r>
    </w:p>
    <w:p>
      <w:pPr>
        <w:pStyle w:val="Heading1"/>
      </w:pPr>
      <w:r>
        <w:t>149. Exceptions</w:t>
      </w:r>
    </w:p>
    <w:p>
      <w:r>
        <w:t>Exceptions require accountable owner, lawful justification, scope, safeguards and review/expiry trigger.</w:t>
      </w:r>
    </w:p>
    <w:p>
      <w:pPr>
        <w:pStyle w:val="Heading1"/>
      </w:pPr>
      <w:r>
        <w:t>150. Compliance</w:t>
      </w:r>
    </w:p>
    <w:p>
      <w:r>
        <w:t>New maintained processing SHALL comply after approval. Existing systems are prioritised based on sensitivity and risk.</w:t>
      </w:r>
    </w:p>
    <w:p>
      <w:pPr>
        <w:pStyle w:val="Heading1"/>
      </w:pPr>
      <w:r>
        <w:t>151. Success Criteria</w:t>
      </w:r>
    </w:p>
    <w:p>
      <w:r>
        <w:t>The standard succeeds when SynapseOS can provide intelligent, personalised and autonomous capabilities without unnecessary intrusion, hidden reuse or uncontrolled disclosure.</w:t>
      </w:r>
    </w:p>
    <w:p>
      <w:pPr>
        <w:pStyle w:val="Heading1"/>
      </w:pPr>
      <w:r>
        <w:t>152. Open Questions</w:t>
      </w:r>
    </w:p>
    <w:p>
      <w:r>
        <w:t>• What default AI prompt retention will Phase 1 adopt?</w:t>
        <w:br/>
        <w:t>• Which provider settings are mandatory for personal data?</w:t>
        <w:br/>
        <w:t>• How will user-visible memory controls work?</w:t>
        <w:br/>
        <w:t>• What PIA template will be mandatory?</w:t>
        <w:br/>
        <w:t>• Which processing activities require formal legal review before launch?</w:t>
      </w:r>
    </w:p>
    <w:p>
      <w:pPr>
        <w:pStyle w:val="Heading1"/>
      </w:pPr>
      <w:r>
        <w:t>153. References</w:t>
      </w:r>
    </w:p>
    <w:p>
      <w:r>
        <w:t>Internal:</w:t>
        <w:br/>
        <w:t>• GOV-009 – Risk Management</w:t>
        <w:br/>
        <w:t>• STD-007 – Security Standards</w:t>
        <w:br/>
        <w:t>• STD-009 – API Standards</w:t>
        <w:br/>
        <w:t>• STD-010 – Observability Standards</w:t>
        <w:br/>
        <w:t>• STD-011 – Dependency Management Standards</w:t>
        <w:br/>
        <w:t>• STD-013 – Configuration Management Standards</w:t>
        <w:br/>
        <w:t>• STD-014 – Data Management Standards</w:t>
      </w:r>
    </w:p>
    <w:p>
      <w:pPr>
        <w:pStyle w:val="Heading1"/>
      </w:pPr>
      <w:r>
        <w:t>Appendix A – Privacy Impact Assessment Template</w:t>
      </w:r>
    </w:p>
    <w:p>
      <w:r>
        <w:t>Processing Activity:</w:t>
      </w:r>
    </w:p>
    <w:p>
      <w:r>
        <w:t>Owner:</w:t>
      </w:r>
    </w:p>
    <w:p>
      <w:r>
        <w:t>Purpose:</w:t>
      </w:r>
    </w:p>
    <w:p>
      <w:r>
        <w:t>Data Subjects:</w:t>
      </w:r>
    </w:p>
    <w:p>
      <w:r>
        <w:t>Personal Information Categories:</w:t>
      </w:r>
    </w:p>
    <w:p>
      <w:r>
        <w:t>Special/High-Risk Information:</w:t>
      </w:r>
    </w:p>
    <w:p>
      <w:r>
        <w:t>Sources:</w:t>
      </w:r>
    </w:p>
    <w:p>
      <w:r>
        <w:t>Lawful Justification:</w:t>
      </w:r>
    </w:p>
    <w:p>
      <w:r>
        <w:t>Recipients:</w:t>
      </w:r>
    </w:p>
    <w:p>
      <w:r>
        <w:t>AI Provider/Model:</w:t>
      </w:r>
    </w:p>
    <w:p>
      <w:r>
        <w:t>Cross-Border Transfer:</w:t>
      </w:r>
    </w:p>
    <w:p>
      <w:r>
        <w:t>Retention:</w:t>
      </w:r>
    </w:p>
    <w:p>
      <w:r>
        <w:t>Automated Decisions:</w:t>
      </w:r>
    </w:p>
    <w:p>
      <w:r>
        <w:t>Potential Harms:</w:t>
      </w:r>
    </w:p>
    <w:p>
      <w:r>
        <w:t>Minimisation Measures:</w:t>
      </w:r>
    </w:p>
    <w:p>
      <w:r>
        <w:t>Security Controls:</w:t>
      </w:r>
    </w:p>
    <w:p>
      <w:r>
        <w:t>Data Subject Controls:</w:t>
      </w:r>
    </w:p>
    <w:p>
      <w:r>
        <w:t>Residual Risk:</w:t>
      </w:r>
    </w:p>
    <w:p>
      <w:r>
        <w:t>Approvals:</w:t>
      </w:r>
    </w:p>
    <w:p>
      <w:r>
        <w:t>Review Date:</w:t>
      </w:r>
    </w:p>
    <w:p>
      <w:pPr>
        <w:pStyle w:val="Heading1"/>
      </w:pPr>
      <w:r>
        <w:t>Appendix B – AI Provider Privacy Review Checklist</w:t>
      </w:r>
    </w:p>
    <w:p>
      <w:r>
        <w:t>□ Official provider identified</w:t>
      </w:r>
    </w:p>
    <w:p>
      <w:r>
        <w:t>□ Data retention terms reviewed</w:t>
      </w:r>
    </w:p>
    <w:p>
      <w:r>
        <w:t>□ Training-use terms reviewed</w:t>
      </w:r>
    </w:p>
    <w:p>
      <w:r>
        <w:t>□ Sub-processors considered</w:t>
      </w:r>
    </w:p>
    <w:p>
      <w:r>
        <w:t>□ Processing region considered</w:t>
      </w:r>
    </w:p>
    <w:p>
      <w:r>
        <w:t>□ Cross-border implications considered</w:t>
      </w:r>
    </w:p>
    <w:p>
      <w:r>
        <w:t>□ Privacy-protective settings enabled</w:t>
      </w:r>
    </w:p>
    <w:p>
      <w:r>
        <w:t>□ Prompt minimisation implemented</w:t>
      </w:r>
    </w:p>
    <w:p>
      <w:r>
        <w:t>□ Sensitive categories restricted</w:t>
      </w:r>
    </w:p>
    <w:p>
      <w:r>
        <w:t>□ Deletion/exit process understood</w:t>
      </w:r>
    </w:p>
    <w:p>
      <w:r>
        <w:t>□ Provider/model change trigger defined</w:t>
      </w:r>
    </w:p>
    <w:p>
      <w:r>
        <w:t>□ Contract/legal review identified where needed</w:t>
      </w:r>
    </w:p>
    <w:p>
      <w:pPr>
        <w:pStyle w:val="Heading1"/>
      </w:pPr>
      <w:r>
        <w:t>Appendix C – Data Subject Request Record</w:t>
      </w:r>
    </w:p>
    <w:p>
      <w:r>
        <w:t>Request ID:</w:t>
      </w:r>
    </w:p>
    <w:p>
      <w:r>
        <w:t>Request Type:</w:t>
      </w:r>
    </w:p>
    <w:p>
      <w:r>
        <w:t>Date Received:</w:t>
      </w:r>
    </w:p>
    <w:p>
      <w:r>
        <w:t>Requester:</w:t>
      </w:r>
    </w:p>
    <w:p>
      <w:r>
        <w:t>Identity Verification:</w:t>
      </w:r>
    </w:p>
    <w:p>
      <w:r>
        <w:t>Systems Searched:</w:t>
      </w:r>
    </w:p>
    <w:p>
      <w:r>
        <w:t>Third-Party Systems:</w:t>
      </w:r>
    </w:p>
    <w:p>
      <w:r>
        <w:t>Decision:</w:t>
      </w:r>
    </w:p>
    <w:p>
      <w:r>
        <w:t>Legal/Retention Constraints:</w:t>
      </w:r>
    </w:p>
    <w:p>
      <w:r>
        <w:t>Action Completed:</w:t>
      </w:r>
    </w:p>
    <w:p>
      <w:r>
        <w:t>Date Completed:</w:t>
      </w:r>
    </w:p>
    <w:p>
      <w:r>
        <w:t>Reviewer:</w:t>
      </w:r>
    </w:p>
    <w:p>
      <w:r>
        <w:t>Communication Sent:</w:t>
      </w:r>
    </w:p>
    <w:p>
      <w:r>
        <w:t>Notes:</w:t>
      </w:r>
    </w:p>
    <w:p>
      <w:pPr>
        <w:pStyle w:val="Heading1"/>
      </w:pPr>
      <w:r>
        <w:t>Appendix D – Personal Information Classification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Example</w:t>
            </w:r>
          </w:p>
        </w:tc>
        <w:tc>
          <w:tcPr>
            <w:tcW w:type="dxa" w:w="2448"/>
          </w:tcPr>
          <w:p>
            <w:r>
              <w:t>Typical Risk</w:t>
            </w:r>
          </w:p>
        </w:tc>
        <w:tc>
          <w:tcPr>
            <w:tcW w:type="dxa" w:w="2448"/>
          </w:tcPr>
          <w:p>
            <w:r>
              <w:t>Suggested Classification</w:t>
            </w:r>
          </w:p>
        </w:tc>
        <w:tc>
          <w:tcPr>
            <w:tcW w:type="dxa" w:w="2448"/>
          </w:tcPr>
          <w:p>
            <w:r>
              <w:t>Notes</w:t>
            </w:r>
          </w:p>
        </w:tc>
      </w:tr>
      <w:tr>
        <w:tc>
          <w:tcPr>
            <w:tcW w:type="dxa" w:w="2448"/>
          </w:tcPr>
          <w:p>
            <w:r>
              <w:t>Public business contact</w:t>
            </w:r>
          </w:p>
        </w:tc>
        <w:tc>
          <w:tcPr>
            <w:tcW w:type="dxa" w:w="2448"/>
          </w:tcPr>
          <w:p>
            <w:r>
              <w:t>Low–Moderate</w:t>
            </w:r>
          </w:p>
        </w:tc>
        <w:tc>
          <w:tcPr>
            <w:tcW w:type="dxa" w:w="2448"/>
          </w:tcPr>
          <w:p>
            <w:r>
              <w:t>Internal/Public if approved</w:t>
            </w:r>
          </w:p>
        </w:tc>
        <w:tc>
          <w:tcPr>
            <w:tcW w:type="dxa" w:w="2448"/>
          </w:tcPr>
          <w:p>
            <w:r>
              <w:t>Context dependent</w:t>
            </w:r>
          </w:p>
        </w:tc>
      </w:tr>
      <w:tr>
        <w:tc>
          <w:tcPr>
            <w:tcW w:type="dxa" w:w="2448"/>
          </w:tcPr>
          <w:p>
            <w:r>
              <w:t>Personal email/phone</w:t>
            </w:r>
          </w:p>
        </w:tc>
        <w:tc>
          <w:tcPr>
            <w:tcW w:type="dxa" w:w="2448"/>
          </w:tcPr>
          <w:p>
            <w:r>
              <w:t>Moderate</w:t>
            </w:r>
          </w:p>
        </w:tc>
        <w:tc>
          <w:tcPr>
            <w:tcW w:type="dxa" w:w="2448"/>
          </w:tcPr>
          <w:p>
            <w:r>
              <w:t>Confidential</w:t>
            </w:r>
          </w:p>
        </w:tc>
        <w:tc>
          <w:tcPr>
            <w:tcW w:type="dxa" w:w="2448"/>
          </w:tcPr>
          <w:p>
            <w:r>
              <w:t>Limit access</w:t>
            </w:r>
          </w:p>
        </w:tc>
      </w:tr>
      <w:tr>
        <w:tc>
          <w:tcPr>
            <w:tcW w:type="dxa" w:w="2448"/>
          </w:tcPr>
          <w:p>
            <w:r>
              <w:t>Identity number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Restricted</w:t>
            </w:r>
          </w:p>
        </w:tc>
        <w:tc>
          <w:tcPr>
            <w:tcW w:type="dxa" w:w="2448"/>
          </w:tcPr>
          <w:p>
            <w:r>
              <w:t>Mask and strongly control</w:t>
            </w:r>
          </w:p>
        </w:tc>
      </w:tr>
      <w:tr>
        <w:tc>
          <w:tcPr>
            <w:tcW w:type="dxa" w:w="2448"/>
          </w:tcPr>
          <w:p>
            <w:r>
              <w:t>Precise location history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Restricted</w:t>
            </w:r>
          </w:p>
        </w:tc>
        <w:tc>
          <w:tcPr>
            <w:tcW w:type="dxa" w:w="2448"/>
          </w:tcPr>
          <w:p>
            <w:r>
              <w:t>Strong purpose limitation</w:t>
            </w:r>
          </w:p>
        </w:tc>
      </w:tr>
      <w:tr>
        <w:tc>
          <w:tcPr>
            <w:tcW w:type="dxa" w:w="2448"/>
          </w:tcPr>
          <w:p>
            <w:r>
              <w:t>Biometric template</w:t>
            </w:r>
          </w:p>
        </w:tc>
        <w:tc>
          <w:tcPr>
            <w:tcW w:type="dxa" w:w="2448"/>
          </w:tcPr>
          <w:p>
            <w:r>
              <w:t>Very High</w:t>
            </w:r>
          </w:p>
        </w:tc>
        <w:tc>
          <w:tcPr>
            <w:tcW w:type="dxa" w:w="2448"/>
          </w:tcPr>
          <w:p>
            <w:r>
              <w:t>Restricted</w:t>
            </w:r>
          </w:p>
        </w:tc>
        <w:tc>
          <w:tcPr>
            <w:tcW w:type="dxa" w:w="2448"/>
          </w:tcPr>
          <w:p>
            <w:r>
              <w:t>Dedicated legal/security review</w:t>
            </w:r>
          </w:p>
        </w:tc>
      </w:tr>
      <w:tr>
        <w:tc>
          <w:tcPr>
            <w:tcW w:type="dxa" w:w="2448"/>
          </w:tcPr>
          <w:p>
            <w:r>
              <w:t>AI-inferred sensitive trait</w:t>
            </w:r>
          </w:p>
        </w:tc>
        <w:tc>
          <w:tcPr>
            <w:tcW w:type="dxa" w:w="2448"/>
          </w:tcPr>
          <w:p>
            <w:r>
              <w:t>High–Very High</w:t>
            </w:r>
          </w:p>
        </w:tc>
        <w:tc>
          <w:tcPr>
            <w:tcW w:type="dxa" w:w="2448"/>
          </w:tcPr>
          <w:p>
            <w:r>
              <w:t>Restricted</w:t>
            </w:r>
          </w:p>
        </w:tc>
        <w:tc>
          <w:tcPr>
            <w:tcW w:type="dxa" w:w="2448"/>
          </w:tcPr>
          <w:p>
            <w:r>
              <w:t>Do not assume inference is accurate</w:t>
            </w:r>
          </w:p>
        </w:tc>
      </w:tr>
    </w:tbl>
    <w:p>
      <w:pPr>
        <w:pStyle w:val="Heading1"/>
      </w:pPr>
      <w:r>
        <w:t>Appendix E – AI Memory Privacy Checklist</w:t>
      </w:r>
    </w:p>
    <w:p>
      <w:r>
        <w:t>□ Persistent memory purpose defined</w:t>
      </w:r>
    </w:p>
    <w:p>
      <w:r>
        <w:t>□ User expectation considered</w:t>
      </w:r>
    </w:p>
    <w:p>
      <w:r>
        <w:t>□ Sensitive data minimised</w:t>
      </w:r>
    </w:p>
    <w:p>
      <w:r>
        <w:t>□ Source/provenance recorded</w:t>
      </w:r>
    </w:p>
    <w:p>
      <w:r>
        <w:t>□ Tenant isolation tested</w:t>
      </w:r>
    </w:p>
    <w:p>
      <w:r>
        <w:t>□ Correction available</w:t>
      </w:r>
    </w:p>
    <w:p>
      <w:r>
        <w:t>□ Deletion available</w:t>
      </w:r>
    </w:p>
    <w:p>
      <w:r>
        <w:t>□ Retention defined</w:t>
      </w:r>
    </w:p>
    <w:p>
      <w:r>
        <w:t>□ Embedding deletion linked</w:t>
      </w:r>
    </w:p>
    <w:p>
      <w:r>
        <w:t>□ Provider exposure known</w:t>
      </w:r>
    </w:p>
    <w:p>
      <w:r>
        <w:t>□ New sensitive inferences controlled</w:t>
      </w:r>
    </w:p>
    <w:p>
      <w:r>
        <w:t>□ Cross-user leakage red-team tested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 Review: ________________________  Date: __________</w:t>
        <w:br/>
        <w:br/>
        <w:t>Privacy/Legal Review: 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