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STD-022 – Tool &amp; Action Execution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STD-022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Tool &amp; Action Execution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how SynapseOS exposes, authorises, validates, executes, observes and recovers tool and action calls made by humans, services and AI agents.</w:t>
      </w:r>
    </w:p>
    <w:p>
      <w:pPr>
        <w:pStyle w:val="Heading1"/>
      </w:pPr>
      <w:r>
        <w:t>2. Scope</w:t>
      </w:r>
    </w:p>
    <w:p>
      <w:r>
        <w:t>Applies to local tools, APIs, shell commands, browser actions, database operations, email/calendar actions, code execution, infrastructure actions and future physical-device actions.</w:t>
      </w:r>
    </w:p>
    <w:p>
      <w:pPr>
        <w:pStyle w:val="Heading1"/>
      </w:pPr>
      <w:r>
        <w:t>3. Foundational Principles</w:t>
      </w:r>
    </w:p>
    <w:p>
      <w:r>
        <w:t>Tool availability is not authority. Deny by default; validate before execution; bind actions to identity and capability; separate planning from execution; preserve evidence; design for cancellation and recovery.</w:t>
      </w:r>
    </w:p>
    <w:p>
      <w:pPr>
        <w:pStyle w:val="Heading1"/>
      </w:pPr>
      <w:r>
        <w:t>4. Tool Registry</w:t>
      </w:r>
    </w:p>
    <w:p>
      <w:r>
        <w:t>Every material production tool SHOULD have a stable tool ID, owner, version, action class, input/output schema, side-effect classification, capability requirement and lifecycle state.</w:t>
      </w:r>
    </w:p>
    <w:p>
      <w:pPr>
        <w:pStyle w:val="Heading1"/>
      </w:pPr>
      <w:r>
        <w:t>5. Action Classes</w:t>
      </w:r>
    </w:p>
    <w:p>
      <w:r>
        <w:t>Classify actions as read-only, reversible write, externally visible, destructive, privileged, financial, legal/binding, or safety-critical. Classification drives approval and safeguards.</w:t>
      </w:r>
    </w:p>
    <w:p>
      <w:pPr>
        <w:pStyle w:val="Heading1"/>
      </w:pPr>
      <w:r>
        <w:t>6. Schema Contracts</w:t>
      </w:r>
    </w:p>
    <w:p>
      <w:r>
        <w:t>Inputs and outputs require explicit schemas. Reject unknown, malformed, ambiguous or out-of-range parameters. Structured output validation occurs before downstream use.</w:t>
      </w:r>
    </w:p>
    <w:p>
      <w:pPr>
        <w:pStyle w:val="Heading1"/>
      </w:pPr>
      <w:r>
        <w:t>7. Authorisation</w:t>
      </w:r>
    </w:p>
    <w:p>
      <w:r>
        <w:t>Authorise the effective identity, capability, resource, tenant, environment and context immediately before execution. Prompt text and model claims are not authorisation.</w:t>
      </w:r>
    </w:p>
    <w:p>
      <w:pPr>
        <w:pStyle w:val="Heading1"/>
      </w:pPr>
      <w:r>
        <w:t>8. Approval Binding</w:t>
      </w:r>
    </w:p>
    <w:p>
      <w:r>
        <w:t>Where approval is required, bind it to material parameters including target, recipient, amount, environment, content version and expiry.</w:t>
      </w:r>
    </w:p>
    <w:p>
      <w:pPr>
        <w:pStyle w:val="Heading1"/>
      </w:pPr>
      <w:r>
        <w:t>9. Idempotency</w:t>
      </w:r>
    </w:p>
    <w:p>
      <w:r>
        <w:t>State-changing tools SHOULD support idempotency keys or equivalent duplicate-prevention semantics where feasible.</w:t>
      </w:r>
    </w:p>
    <w:p>
      <w:pPr>
        <w:pStyle w:val="Heading1"/>
      </w:pPr>
      <w:r>
        <w:t>10. Retries</w:t>
      </w:r>
    </w:p>
    <w:p>
      <w:r>
        <w:t>Retries require bounded attempts, backoff and awareness of side effects. Never blindly retry non-idempotent high-impact actions.</w:t>
      </w:r>
    </w:p>
    <w:p>
      <w:pPr>
        <w:pStyle w:val="Heading1"/>
      </w:pPr>
      <w:r>
        <w:t>11. Timeouts and Cancellation</w:t>
      </w:r>
    </w:p>
    <w:p>
      <w:r>
        <w:t>Define execution timeout, cancellation semantics and safe handling of partially completed work.</w:t>
      </w:r>
    </w:p>
    <w:p>
      <w:pPr>
        <w:pStyle w:val="Heading1"/>
      </w:pPr>
      <w:r>
        <w:t>12. Transactions</w:t>
      </w:r>
    </w:p>
    <w:p>
      <w:r>
        <w:t>Use atomic transactions where available. Where unavailable, define compensating actions and partial-failure handling.</w:t>
      </w:r>
    </w:p>
    <w:p>
      <w:pPr>
        <w:pStyle w:val="Heading1"/>
      </w:pPr>
      <w:r>
        <w:t>13. Dry Run and Preview</w:t>
      </w:r>
    </w:p>
    <w:p>
      <w:r>
        <w:t>High-impact tools SHOULD support preview, plan or dry-run modes where technically feasible.</w:t>
      </w:r>
    </w:p>
    <w:p>
      <w:pPr>
        <w:pStyle w:val="Heading1"/>
      </w:pPr>
      <w:r>
        <w:t>14. Shell and Code Execution</w:t>
      </w:r>
    </w:p>
    <w:p>
      <w:r>
        <w:t>Treat shell and arbitrary code execution as high privilege. Restrict working directory, environment, network, secrets, duration and destructive commands.</w:t>
      </w:r>
    </w:p>
    <w:p>
      <w:pPr>
        <w:pStyle w:val="Heading1"/>
      </w:pPr>
      <w:r>
        <w:t>15. Network Actions</w:t>
      </w:r>
    </w:p>
    <w:p>
      <w:r>
        <w:t>Constrain destinations, protocols and data disclosure. Prevent server-side request forgery and unauthorised internal-network reachability.</w:t>
      </w:r>
    </w:p>
    <w:p>
      <w:pPr>
        <w:pStyle w:val="Heading1"/>
      </w:pPr>
      <w:r>
        <w:t>16. Filesystem Actions</w:t>
      </w:r>
    </w:p>
    <w:p>
      <w:r>
        <w:t>Scope allowed paths and operations; prevent traversal, symlink abuse and accidental bulk deletion.</w:t>
      </w:r>
    </w:p>
    <w:p>
      <w:pPr>
        <w:pStyle w:val="Heading1"/>
      </w:pPr>
      <w:r>
        <w:t>17. Database Actions</w:t>
      </w:r>
    </w:p>
    <w:p>
      <w:r>
        <w:t>Separate read, write, schema and administrative operations. Parameterise queries and constrain bulk operations.</w:t>
      </w:r>
    </w:p>
    <w:p>
      <w:pPr>
        <w:pStyle w:val="Heading1"/>
      </w:pPr>
      <w:r>
        <w:t>18. External Communications</w:t>
      </w:r>
    </w:p>
    <w:p>
      <w:r>
        <w:t>Drafting and sending are separate actions. Verify recipients, content version, attachments and approval before send.</w:t>
      </w:r>
    </w:p>
    <w:p>
      <w:pPr>
        <w:pStyle w:val="Heading1"/>
      </w:pPr>
      <w:r>
        <w:t>19. Financial and Binding Actions</w:t>
      </w:r>
    </w:p>
    <w:p>
      <w:r>
        <w:t>Require amount/beneficiary/contract binding, stronger approval, reconciliation and immutable evidence appropriate to impact.</w:t>
      </w:r>
    </w:p>
    <w:p>
      <w:pPr>
        <w:pStyle w:val="Heading1"/>
      </w:pPr>
      <w:r>
        <w:t>20. Tool Output Trust</w:t>
      </w:r>
    </w:p>
    <w:p>
      <w:r>
        <w:t>Treat tool output as untrusted data. Tool output cannot grant capability, modify policy or override higher-priority instructions.</w:t>
      </w:r>
    </w:p>
    <w:p>
      <w:pPr>
        <w:pStyle w:val="Heading1"/>
      </w:pPr>
      <w:r>
        <w:t>21. Prompt Injection</w:t>
      </w:r>
    </w:p>
    <w:p>
      <w:r>
        <w:t>Indirect instructions in webpages, files, emails, retrieved content or tool output must not become privileged commands.</w:t>
      </w:r>
    </w:p>
    <w:p>
      <w:pPr>
        <w:pStyle w:val="Heading1"/>
      </w:pPr>
      <w:r>
        <w:t>22. Secrets</w:t>
      </w:r>
    </w:p>
    <w:p>
      <w:r>
        <w:t>Do not place secrets unnecessarily in prompts, logs or model-visible output. Use secret references and scoped credentials.</w:t>
      </w:r>
    </w:p>
    <w:p>
      <w:pPr>
        <w:pStyle w:val="Heading1"/>
      </w:pPr>
      <w:r>
        <w:t>23. Observability</w:t>
      </w:r>
    </w:p>
    <w:p>
      <w:r>
        <w:t>Record request identity, tool, version, parameters or safe hashes, authorisation result, approval reference, timing, outcome and error class.</w:t>
      </w:r>
    </w:p>
    <w:p>
      <w:pPr>
        <w:pStyle w:val="Heading1"/>
      </w:pPr>
      <w:r>
        <w:t>24. Error Taxonomy</w:t>
      </w:r>
    </w:p>
    <w:p>
      <w:r>
        <w:t>Distinguish validation, authorisation, approval, dependency, timeout, conflict, partial execution and unknown failures.</w:t>
      </w:r>
    </w:p>
    <w:p>
      <w:pPr>
        <w:pStyle w:val="Heading1"/>
      </w:pPr>
      <w:r>
        <w:t>25. Circuit Breakers</w:t>
      </w:r>
    </w:p>
    <w:p>
      <w:r>
        <w:t>Repeated dependency failures SHOULD trigger circuit breaking or controlled degradation.</w:t>
      </w:r>
    </w:p>
    <w:p>
      <w:pPr>
        <w:pStyle w:val="Heading1"/>
      </w:pPr>
      <w:r>
        <w:t>26. Rate and Budget Limits</w:t>
      </w:r>
    </w:p>
    <w:p>
      <w:r>
        <w:t>Bound calls by identity, tool, tenant, time, token, compute and financial budgets.</w:t>
      </w:r>
    </w:p>
    <w:p>
      <w:pPr>
        <w:pStyle w:val="Heading1"/>
      </w:pPr>
      <w:r>
        <w:t>27. Concurrency</w:t>
      </w:r>
    </w:p>
    <w:p>
      <w:r>
        <w:t>Define safe concurrency and locking for shared resources.</w:t>
      </w:r>
    </w:p>
    <w:p>
      <w:pPr>
        <w:pStyle w:val="Heading1"/>
      </w:pPr>
      <w:r>
        <w:t>28. Compensation</w:t>
      </w:r>
    </w:p>
    <w:p>
      <w:r>
        <w:t>For multi-step workflows, document compensating actions and where compensation is impossible.</w:t>
      </w:r>
    </w:p>
    <w:p>
      <w:pPr>
        <w:pStyle w:val="Heading1"/>
      </w:pPr>
      <w:r>
        <w:t>29. Human Oversight</w:t>
      </w:r>
    </w:p>
    <w:p>
      <w:r>
        <w:t>Apply STD-017 for consequential actions and preserve the ability to stop pending or active execution where feasible.</w:t>
      </w:r>
    </w:p>
    <w:p>
      <w:pPr>
        <w:pStyle w:val="Heading1"/>
      </w:pPr>
      <w:r>
        <w:t>30. Agent Controls</w:t>
      </w:r>
    </w:p>
    <w:p>
      <w:r>
        <w:t>Apply STD-021. Agents cannot self-grant tools, broaden schemas or bypass tool gateways.</w:t>
      </w:r>
    </w:p>
    <w:p>
      <w:pPr>
        <w:pStyle w:val="Heading1"/>
      </w:pPr>
      <w:r>
        <w:t>31. Testing</w:t>
      </w:r>
    </w:p>
    <w:p>
      <w:r>
        <w:t>Include contract, negative, authorisation, injection, retry, timeout, duplicate, race, partial-failure and rollback tests.</w:t>
      </w:r>
    </w:p>
    <w:p>
      <w:pPr>
        <w:pStyle w:val="Heading1"/>
      </w:pPr>
      <w:r>
        <w:t>32. Claude Code</w:t>
      </w:r>
    </w:p>
    <w:p>
      <w:r>
        <w:t>Claude Code may implement tools but must not claim commands ran, tests passed or actions completed without evidence. Destructive, credential, production and deployment actions require explicit authority.</w:t>
      </w:r>
    </w:p>
    <w:p>
      <w:pPr>
        <w:pStyle w:val="Heading1"/>
      </w:pPr>
      <w:r>
        <w:t>33. Prohibited Practices</w:t>
      </w:r>
    </w:p>
    <w:p>
      <w:r>
        <w:t>Unvalidated free-form execution; shared unrestricted credentials; silent parameter mutation after approval; blind retries of side effects; treating tool output as trusted instruction; hiding partial failure; fabricating execution evidence.</w:t>
      </w:r>
    </w:p>
    <w:p>
      <w:pPr>
        <w:pStyle w:val="Heading1"/>
      </w:pPr>
      <w:r>
        <w:t>34. Phase 1 Minimum</w:t>
      </w:r>
    </w:p>
    <w:p>
      <w:r>
        <w:t>Tool registry, explicit schemas, allowlists, identity/capability checks, timeouts, bounded retries, audit events and manual disablement.</w:t>
      </w:r>
    </w:p>
    <w:p>
      <w:pPr>
        <w:pStyle w:val="Heading1"/>
      </w:pPr>
      <w:r>
        <w:t>35. Open Questions</w:t>
      </w:r>
    </w:p>
    <w:p>
      <w:r>
        <w:t>Which tool gateway will Phase 1 use? What canonical tool schema format applies? How will idempotency be represented? Which actions require mandatory preview?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