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STD-024 – Performance, Scalability &amp; Resource Governance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STD-024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Performance, Scalability &amp; Resource Governance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performance engineering, scalability and resource-governance requirements for SynapseOS.</w:t>
      </w:r>
    </w:p>
    <w:p>
      <w:pPr>
        <w:pStyle w:val="Heading1"/>
      </w:pPr>
      <w:r>
        <w:t>2. Scope</w:t>
      </w:r>
    </w:p>
    <w:p>
      <w:r>
        <w:t>Applies to APIs, services, agents, model calls, storage, queues, retrieval, infrastructure and developer tooling.</w:t>
      </w:r>
    </w:p>
    <w:p>
      <w:pPr>
        <w:pStyle w:val="Heading1"/>
      </w:pPr>
      <w:r>
        <w:t>3. Foundational Principles</w:t>
      </w:r>
    </w:p>
    <w:p>
      <w:r>
        <w:t>Measure before optimising; define user-centred objectives; bound resources; scale intentionally; cost is a performance dimension.</w:t>
      </w:r>
    </w:p>
    <w:p>
      <w:pPr>
        <w:pStyle w:val="Heading1"/>
      </w:pPr>
      <w:r>
        <w:t>4. Performance Objectives</w:t>
      </w:r>
    </w:p>
    <w:p>
      <w:r>
        <w:t>Define latency, throughput, concurrency and completion-time objectives per workload.</w:t>
      </w:r>
    </w:p>
    <w:p>
      <w:pPr>
        <w:pStyle w:val="Heading1"/>
      </w:pPr>
      <w:r>
        <w:t>5. SLIs and SLOs</w:t>
      </w:r>
    </w:p>
    <w:p>
      <w:r>
        <w:t>Use measurable indicators and objectives for material services; avoid unsupported guarantees.</w:t>
      </w:r>
    </w:p>
    <w:p>
      <w:pPr>
        <w:pStyle w:val="Heading1"/>
      </w:pPr>
      <w:r>
        <w:t>6. Latency</w:t>
      </w:r>
    </w:p>
    <w:p>
      <w:r>
        <w:t>Measure p50, p95 and p99 where meaningful. Average latency alone is insufficient.</w:t>
      </w:r>
    </w:p>
    <w:p>
      <w:pPr>
        <w:pStyle w:val="Heading1"/>
      </w:pPr>
      <w:r>
        <w:t>7. End-to-End Time</w:t>
      </w:r>
    </w:p>
    <w:p>
      <w:r>
        <w:t>For agentic workflows measure time to successful task completion, not only individual model calls.</w:t>
      </w:r>
    </w:p>
    <w:p>
      <w:pPr>
        <w:pStyle w:val="Heading1"/>
      </w:pPr>
      <w:r>
        <w:t>8. Throughput</w:t>
      </w:r>
    </w:p>
    <w:p>
      <w:r>
        <w:t>Measure sustainable completed work per unit time under defined conditions.</w:t>
      </w:r>
    </w:p>
    <w:p>
      <w:pPr>
        <w:pStyle w:val="Heading1"/>
      </w:pPr>
      <w:r>
        <w:t>9. Concurrency</w:t>
      </w:r>
    </w:p>
    <w:p>
      <w:r>
        <w:t>Set tested concurrency limits and protect shared resources.</w:t>
      </w:r>
    </w:p>
    <w:p>
      <w:pPr>
        <w:pStyle w:val="Heading1"/>
      </w:pPr>
      <w:r>
        <w:t>10. Load Profiles</w:t>
      </w:r>
    </w:p>
    <w:p>
      <w:r>
        <w:t>Document expected steady, peak, burst and background workloads.</w:t>
      </w:r>
    </w:p>
    <w:p>
      <w:pPr>
        <w:pStyle w:val="Heading1"/>
      </w:pPr>
      <w:r>
        <w:t>11. Capacity Planning</w:t>
      </w:r>
    </w:p>
    <w:p>
      <w:r>
        <w:t>Estimate compute, memory, storage, bandwidth, tokens and external quotas.</w:t>
      </w:r>
    </w:p>
    <w:p>
      <w:pPr>
        <w:pStyle w:val="Heading1"/>
      </w:pPr>
      <w:r>
        <w:t>12. Headroom</w:t>
      </w:r>
    </w:p>
    <w:p>
      <w:r>
        <w:t>Maintain appropriate reserve for critical workloads.</w:t>
      </w:r>
    </w:p>
    <w:p>
      <w:pPr>
        <w:pStyle w:val="Heading1"/>
      </w:pPr>
      <w:r>
        <w:t>13. Resource Budgets</w:t>
      </w:r>
    </w:p>
    <w:p>
      <w:r>
        <w:t>Set CPU, memory, disk, network, token, model-call and financial budgets.</w:t>
      </w:r>
    </w:p>
    <w:p>
      <w:pPr>
        <w:pStyle w:val="Heading1"/>
      </w:pPr>
      <w:r>
        <w:t>14. Agent Budgets</w:t>
      </w:r>
    </w:p>
    <w:p>
      <w:r>
        <w:t>Bound steps, wall-clock time, tokens, tool calls, retries, delegation depth and spend.</w:t>
      </w:r>
    </w:p>
    <w:p>
      <w:pPr>
        <w:pStyle w:val="Heading1"/>
      </w:pPr>
      <w:r>
        <w:t>15. Cost per Outcome</w:t>
      </w:r>
    </w:p>
    <w:p>
      <w:r>
        <w:t>Where useful, measure cost per successful task rather than cost per call.</w:t>
      </w:r>
    </w:p>
    <w:p>
      <w:pPr>
        <w:pStyle w:val="Heading1"/>
      </w:pPr>
      <w:r>
        <w:t>16. Model Efficiency</w:t>
      </w:r>
    </w:p>
    <w:p>
      <w:r>
        <w:t>Select fit-for-purpose models; do not default to largest models.</w:t>
      </w:r>
    </w:p>
    <w:p>
      <w:pPr>
        <w:pStyle w:val="Heading1"/>
      </w:pPr>
      <w:r>
        <w:t>17. Context Efficiency</w:t>
      </w:r>
    </w:p>
    <w:p>
      <w:r>
        <w:t>Minimise unnecessary prompt context while preserving correctness and evidence.</w:t>
      </w:r>
    </w:p>
    <w:p>
      <w:pPr>
        <w:pStyle w:val="Heading1"/>
      </w:pPr>
      <w:r>
        <w:t>18. Caching</w:t>
      </w:r>
    </w:p>
    <w:p>
      <w:r>
        <w:t>Cache only with explicit freshness, privacy, tenant and invalidation semantics.</w:t>
      </w:r>
    </w:p>
    <w:p>
      <w:pPr>
        <w:pStyle w:val="Heading1"/>
      </w:pPr>
      <w:r>
        <w:t>19. Batching</w:t>
      </w:r>
    </w:p>
    <w:p>
      <w:r>
        <w:t>Batch work where it improves efficiency without violating latency or isolation.</w:t>
      </w:r>
    </w:p>
    <w:p>
      <w:pPr>
        <w:pStyle w:val="Heading1"/>
      </w:pPr>
      <w:r>
        <w:t>20. Asynchrony</w:t>
      </w:r>
    </w:p>
    <w:p>
      <w:r>
        <w:t>Use asynchronous execution for suitable long-running work with status and cancellation.</w:t>
      </w:r>
    </w:p>
    <w:p>
      <w:pPr>
        <w:pStyle w:val="Heading1"/>
      </w:pPr>
      <w:r>
        <w:t>21. Backpressure</w:t>
      </w:r>
    </w:p>
    <w:p>
      <w:r>
        <w:t>Prevent unbounded producers from overwhelming consumers.</w:t>
      </w:r>
    </w:p>
    <w:p>
      <w:pPr>
        <w:pStyle w:val="Heading1"/>
      </w:pPr>
      <w:r>
        <w:t>22. Queue Limits</w:t>
      </w:r>
    </w:p>
    <w:p>
      <w:r>
        <w:t>Bound queue size, age and retry behaviour.</w:t>
      </w:r>
    </w:p>
    <w:p>
      <w:pPr>
        <w:pStyle w:val="Heading1"/>
      </w:pPr>
      <w:r>
        <w:t>23. Load Shedding</w:t>
      </w:r>
    </w:p>
    <w:p>
      <w:r>
        <w:t>Reject or defer lower-priority work under saturation.</w:t>
      </w:r>
    </w:p>
    <w:p>
      <w:pPr>
        <w:pStyle w:val="Heading1"/>
      </w:pPr>
      <w:r>
        <w:t>24. Priority</w:t>
      </w:r>
    </w:p>
    <w:p>
      <w:r>
        <w:t>Define priority classes without allowing starvation of essential work.</w:t>
      </w:r>
    </w:p>
    <w:p>
      <w:pPr>
        <w:pStyle w:val="Heading1"/>
      </w:pPr>
      <w:r>
        <w:t>25. Autoscaling</w:t>
      </w:r>
    </w:p>
    <w:p>
      <w:r>
        <w:t>Scaling policies require tested signals, minimum/maximum bounds and cost controls.</w:t>
      </w:r>
    </w:p>
    <w:p>
      <w:pPr>
        <w:pStyle w:val="Heading1"/>
      </w:pPr>
      <w:r>
        <w:t>26. Horizontal Scaling</w:t>
      </w:r>
    </w:p>
    <w:p>
      <w:r>
        <w:t>Prefer statelessness where appropriate; document state coordination.</w:t>
      </w:r>
    </w:p>
    <w:p>
      <w:pPr>
        <w:pStyle w:val="Heading1"/>
      </w:pPr>
      <w:r>
        <w:t>27. Vertical Scaling</w:t>
      </w:r>
    </w:p>
    <w:p>
      <w:r>
        <w:t>Use deliberately and recognise host-level failure concentration.</w:t>
      </w:r>
    </w:p>
    <w:p>
      <w:pPr>
        <w:pStyle w:val="Heading1"/>
      </w:pPr>
      <w:r>
        <w:t>28. Database Performance</w:t>
      </w:r>
    </w:p>
    <w:p>
      <w:r>
        <w:t>Index from measured queries, avoid unbounded scans and monitor connection pools.</w:t>
      </w:r>
    </w:p>
    <w:p>
      <w:pPr>
        <w:pStyle w:val="Heading1"/>
      </w:pPr>
      <w:r>
        <w:t>29. Retrieval Performance</w:t>
      </w:r>
    </w:p>
    <w:p>
      <w:r>
        <w:t>Measure embedding, search, reranking and context assembly separately.</w:t>
      </w:r>
    </w:p>
    <w:p>
      <w:pPr>
        <w:pStyle w:val="Heading1"/>
      </w:pPr>
      <w:r>
        <w:t>30. Storage Growth</w:t>
      </w:r>
    </w:p>
    <w:p>
      <w:r>
        <w:t>Forecast source, vector, log, event and backup growth.</w:t>
      </w:r>
    </w:p>
    <w:p>
      <w:pPr>
        <w:pStyle w:val="Heading1"/>
      </w:pPr>
      <w:r>
        <w:t>31. Network Performance</w:t>
      </w:r>
    </w:p>
    <w:p>
      <w:r>
        <w:t>Measure bandwidth, connection, DNS and dependency latency where relevant.</w:t>
      </w:r>
    </w:p>
    <w:p>
      <w:pPr>
        <w:pStyle w:val="Heading1"/>
      </w:pPr>
      <w:r>
        <w:t>32. Cold Starts</w:t>
      </w:r>
    </w:p>
    <w:p>
      <w:r>
        <w:t>Account for model/service startup and scale-from-zero delays.</w:t>
      </w:r>
    </w:p>
    <w:p>
      <w:pPr>
        <w:pStyle w:val="Heading1"/>
      </w:pPr>
      <w:r>
        <w:t>33. Local-First Constraints</w:t>
      </w:r>
    </w:p>
    <w:p>
      <w:r>
        <w:t>Phase 1 designs should run within modest hardware where possible and expose resource requirements.</w:t>
      </w:r>
    </w:p>
    <w:p>
      <w:pPr>
        <w:pStyle w:val="Heading1"/>
      </w:pPr>
      <w:r>
        <w:t>34. GPU Governance</w:t>
      </w:r>
    </w:p>
    <w:p>
      <w:r>
        <w:t>Track allocation, utilisation, memory and workload priority for local models.</w:t>
      </w:r>
    </w:p>
    <w:p>
      <w:pPr>
        <w:pStyle w:val="Heading1"/>
      </w:pPr>
      <w:r>
        <w:t>35. Benchmarking</w:t>
      </w:r>
    </w:p>
    <w:p>
      <w:r>
        <w:t>Use reproducible workloads, fixed versions and representative data.</w:t>
      </w:r>
    </w:p>
    <w:p>
      <w:pPr>
        <w:pStyle w:val="Heading1"/>
      </w:pPr>
      <w:r>
        <w:t>36. Load Testing</w:t>
      </w:r>
    </w:p>
    <w:p>
      <w:r>
        <w:t>Test expected and beyond-expected load in safe environments.</w:t>
      </w:r>
    </w:p>
    <w:p>
      <w:pPr>
        <w:pStyle w:val="Heading1"/>
      </w:pPr>
      <w:r>
        <w:t>37. Stress Testing</w:t>
      </w:r>
    </w:p>
    <w:p>
      <w:r>
        <w:t>Identify failure point and recovery behaviour.</w:t>
      </w:r>
    </w:p>
    <w:p>
      <w:pPr>
        <w:pStyle w:val="Heading1"/>
      </w:pPr>
      <w:r>
        <w:t>38. Soak Testing</w:t>
      </w:r>
    </w:p>
    <w:p>
      <w:r>
        <w:t>Detect leaks and degradation over sustained operation.</w:t>
      </w:r>
    </w:p>
    <w:p>
      <w:pPr>
        <w:pStyle w:val="Heading1"/>
      </w:pPr>
      <w:r>
        <w:t>39. Regression Budgets</w:t>
      </w:r>
    </w:p>
    <w:p>
      <w:r>
        <w:t>Material performance regressions require explicit acceptance.</w:t>
      </w:r>
    </w:p>
    <w:p>
      <w:pPr>
        <w:pStyle w:val="Heading1"/>
      </w:pPr>
      <w:r>
        <w:t>40. Performance Gates</w:t>
      </w:r>
    </w:p>
    <w:p>
      <w:r>
        <w:t>Critical paths MAY have automated thresholds in CI/CD.</w:t>
      </w:r>
    </w:p>
    <w:p>
      <w:pPr>
        <w:pStyle w:val="Heading1"/>
      </w:pPr>
      <w:r>
        <w:t>41. Profiling</w:t>
      </w:r>
    </w:p>
    <w:p>
      <w:r>
        <w:t>Profile before deep optimisation; preserve evidence of bottlenecks.</w:t>
      </w:r>
    </w:p>
    <w:p>
      <w:pPr>
        <w:pStyle w:val="Heading1"/>
      </w:pPr>
      <w:r>
        <w:t>42. N+1 and Fan-Out</w:t>
      </w:r>
    </w:p>
    <w:p>
      <w:r>
        <w:t>Detect uncontrolled call multiplication, especially in agents and multi-agent systems.</w:t>
      </w:r>
    </w:p>
    <w:p>
      <w:pPr>
        <w:pStyle w:val="Heading1"/>
      </w:pPr>
      <w:r>
        <w:t>43. Thundering Herd</w:t>
      </w:r>
    </w:p>
    <w:p>
      <w:r>
        <w:t>Use jitter, coordination and caching to avoid synchronized overload.</w:t>
      </w:r>
    </w:p>
    <w:p>
      <w:pPr>
        <w:pStyle w:val="Heading1"/>
      </w:pPr>
      <w:r>
        <w:t>44. Rate Limits</w:t>
      </w:r>
    </w:p>
    <w:p>
      <w:r>
        <w:t>Apply by identity, tenant, endpoint, tool and provider where appropriate.</w:t>
      </w:r>
    </w:p>
    <w:p>
      <w:pPr>
        <w:pStyle w:val="Heading1"/>
      </w:pPr>
      <w:r>
        <w:t>45. Fairness</w:t>
      </w:r>
    </w:p>
    <w:p>
      <w:r>
        <w:t>Prevent one tenant or agent from exhausting shared resources.</w:t>
      </w:r>
    </w:p>
    <w:p>
      <w:pPr>
        <w:pStyle w:val="Heading1"/>
      </w:pPr>
      <w:r>
        <w:t>46. Quotas</w:t>
      </w:r>
    </w:p>
    <w:p>
      <w:r>
        <w:t>Make quotas explicit, observable and adjustable through governance.</w:t>
      </w:r>
    </w:p>
    <w:p>
      <w:pPr>
        <w:pStyle w:val="Heading1"/>
      </w:pPr>
      <w:r>
        <w:t>47. Observability</w:t>
      </w:r>
    </w:p>
    <w:p>
      <w:r>
        <w:t>Track resource saturation, latency, throughput, queue age, cost and budget exhaustion.</w:t>
      </w:r>
    </w:p>
    <w:p>
      <w:pPr>
        <w:pStyle w:val="Heading1"/>
      </w:pPr>
      <w:r>
        <w:t>48. Cost Alerts</w:t>
      </w:r>
    </w:p>
    <w:p>
      <w:r>
        <w:t>Alert on abnormal provider, token, compute or storage spend.</w:t>
      </w:r>
    </w:p>
    <w:p>
      <w:pPr>
        <w:pStyle w:val="Heading1"/>
      </w:pPr>
      <w:r>
        <w:t>49. Optimisation Review</w:t>
      </w:r>
    </w:p>
    <w:p>
      <w:r>
        <w:t>Optimisations that increase complexity require measured benefit and rollback.</w:t>
      </w:r>
    </w:p>
    <w:p>
      <w:pPr>
        <w:pStyle w:val="Heading1"/>
      </w:pPr>
      <w:r>
        <w:t>50. Claude Code</w:t>
      </w:r>
    </w:p>
    <w:p>
      <w:r>
        <w:t>May generate benchmarks but cannot invent measurements or claim optimisation without executed evidence.</w:t>
      </w:r>
    </w:p>
    <w:p>
      <w:pPr>
        <w:pStyle w:val="Heading1"/>
      </w:pPr>
      <w:r>
        <w:t>51. Prohibited Practices</w:t>
      </w:r>
    </w:p>
    <w:p>
      <w:r>
        <w:t>Optimising from intuition alone; unbounded agent loops; unlimited queues; hiding cost regressions; benchmark cherry-picking; cross-tenant cache leakage.</w:t>
      </w:r>
    </w:p>
    <w:p>
      <w:pPr>
        <w:pStyle w:val="Heading1"/>
      </w:pPr>
      <w:r>
        <w:t>52. Phase 1 Minimum</w:t>
      </w:r>
    </w:p>
    <w:p>
      <w:r>
        <w:t>Baseline benchmarks, latency metrics, resource limits, agent budgets, rate limits and cost tracking.</w:t>
      </w:r>
    </w:p>
    <w:p>
      <w:pPr>
        <w:pStyle w:val="Heading1"/>
      </w:pPr>
      <w:r>
        <w:t>53. Open Questions</w:t>
      </w:r>
    </w:p>
    <w:p>
      <w:r>
        <w:t>What reference hardware defines Phase 1? What SLOs apply to kernel and tool gateway? Which cost budgets are mandatory?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