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STD-025 – Distributed Systems &amp; Messaging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STD-025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Distributed Systems &amp; Messaging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GOV-001 through GOV-010; applicable STD standards</w:t>
            </w:r>
          </w:p>
        </w:tc>
      </w:tr>
    </w:tbl>
    <w:p>
      <w:pPr>
        <w:pStyle w:val="Heading1"/>
      </w:pPr>
      <w:r>
        <w:t>Normative Language</w:t>
      </w:r>
    </w:p>
    <w:p>
      <w:r>
        <w:t>The terms SHALL, MUST, SHOULD, MAY and MUST NOT indicate requirement strength. Mandatory requirements remain subject to approved project governance and documented exceptions.</w:t>
      </w:r>
    </w:p>
    <w:p>
      <w:pPr>
        <w:pStyle w:val="Heading1"/>
      </w:pPr>
      <w:r>
        <w:t>1. Purpose</w:t>
      </w:r>
    </w:p>
    <w:p>
      <w:r>
        <w:t>Define messaging, eventing, coordination and distributed-systems semantics for SynapseOS.</w:t>
      </w:r>
    </w:p>
    <w:p>
      <w:pPr>
        <w:pStyle w:val="Heading1"/>
      </w:pPr>
      <w:r>
        <w:t>2. Scope</w:t>
      </w:r>
    </w:p>
    <w:p>
      <w:r>
        <w:t>Applies to service-to-service messages, commands, events, queues, streams, agent messages and asynchronous workflows.</w:t>
      </w:r>
    </w:p>
    <w:p>
      <w:pPr>
        <w:pStyle w:val="Heading1"/>
      </w:pPr>
      <w:r>
        <w:t>3. Foundational Principles</w:t>
      </w:r>
    </w:p>
    <w:p>
      <w:r>
        <w:t>Networks fail; delivery may duplicate; ordering is scoped; time is imperfect; state convergence must be designed.</w:t>
      </w:r>
    </w:p>
    <w:p>
      <w:pPr>
        <w:pStyle w:val="Heading1"/>
      </w:pPr>
      <w:r>
        <w:t>4. Message Types</w:t>
      </w:r>
    </w:p>
    <w:p>
      <w:r>
        <w:t>Distinguish commands, events, queries, replies, notifications and control messages.</w:t>
      </w:r>
    </w:p>
    <w:p>
      <w:pPr>
        <w:pStyle w:val="Heading1"/>
      </w:pPr>
      <w:r>
        <w:t>5. Commands</w:t>
      </w:r>
    </w:p>
    <w:p>
      <w:r>
        <w:t>Express intent for a specific receiver to perform an action and may be rejected.</w:t>
      </w:r>
    </w:p>
    <w:p>
      <w:pPr>
        <w:pStyle w:val="Heading1"/>
      </w:pPr>
      <w:r>
        <w:t>6. Events</w:t>
      </w:r>
    </w:p>
    <w:p>
      <w:r>
        <w:t>Record that something happened; use past-tense semantics and immutable event identity.</w:t>
      </w:r>
    </w:p>
    <w:p>
      <w:pPr>
        <w:pStyle w:val="Heading1"/>
      </w:pPr>
      <w:r>
        <w:t>7. Queries</w:t>
      </w:r>
    </w:p>
    <w:p>
      <w:r>
        <w:t>Request information without implying state change.</w:t>
      </w:r>
    </w:p>
    <w:p>
      <w:pPr>
        <w:pStyle w:val="Heading1"/>
      </w:pPr>
      <w:r>
        <w:t>8. Message Envelope</w:t>
      </w:r>
    </w:p>
    <w:p>
      <w:r>
        <w:t>Include message ID, type, schema version, timestamp, producer identity, correlation ID, causation ID and tenant/context where applicable.</w:t>
      </w:r>
    </w:p>
    <w:p>
      <w:pPr>
        <w:pStyle w:val="Heading1"/>
      </w:pPr>
      <w:r>
        <w:t>9. Schema Registry</w:t>
      </w:r>
    </w:p>
    <w:p>
      <w:r>
        <w:t>Material message schemas SHOULD be versioned and discoverable.</w:t>
      </w:r>
    </w:p>
    <w:p>
      <w:pPr>
        <w:pStyle w:val="Heading1"/>
      </w:pPr>
      <w:r>
        <w:t>10. Compatibility</w:t>
      </w:r>
    </w:p>
    <w:p>
      <w:r>
        <w:t>Define backward/forward compatibility and consumer migration rules.</w:t>
      </w:r>
    </w:p>
    <w:p>
      <w:pPr>
        <w:pStyle w:val="Heading1"/>
      </w:pPr>
      <w:r>
        <w:t>11. Delivery Semantics</w:t>
      </w:r>
    </w:p>
    <w:p>
      <w:r>
        <w:t>Explicitly define at-most-once, at-least-once or effectively-once behaviour; do not casually promise exactly-once.</w:t>
      </w:r>
    </w:p>
    <w:p>
      <w:pPr>
        <w:pStyle w:val="Heading1"/>
      </w:pPr>
      <w:r>
        <w:t>12. Idempotent Consumers</w:t>
      </w:r>
    </w:p>
    <w:p>
      <w:r>
        <w:t>At-least-once delivery requires duplicate-safe consumers where side effects matter.</w:t>
      </w:r>
    </w:p>
    <w:p>
      <w:pPr>
        <w:pStyle w:val="Heading1"/>
      </w:pPr>
      <w:r>
        <w:t>13. Ordering</w:t>
      </w:r>
    </w:p>
    <w:p>
      <w:r>
        <w:t>Guarantee ordering only within defined keys/partitions where supported.</w:t>
      </w:r>
    </w:p>
    <w:p>
      <w:pPr>
        <w:pStyle w:val="Heading1"/>
      </w:pPr>
      <w:r>
        <w:t>14. Deduplication</w:t>
      </w:r>
    </w:p>
    <w:p>
      <w:r>
        <w:t>Use stable IDs and bounded deduplication windows where required.</w:t>
      </w:r>
    </w:p>
    <w:p>
      <w:pPr>
        <w:pStyle w:val="Heading1"/>
      </w:pPr>
      <w:r>
        <w:t>15. Correlation</w:t>
      </w:r>
    </w:p>
    <w:p>
      <w:r>
        <w:t>Trace workflows across services and agents.</w:t>
      </w:r>
    </w:p>
    <w:p>
      <w:pPr>
        <w:pStyle w:val="Heading1"/>
      </w:pPr>
      <w:r>
        <w:t>16. Causation</w:t>
      </w:r>
    </w:p>
    <w:p>
      <w:r>
        <w:t>Preserve which message/action caused a subsequent event.</w:t>
      </w:r>
    </w:p>
    <w:p>
      <w:pPr>
        <w:pStyle w:val="Heading1"/>
      </w:pPr>
      <w:r>
        <w:t>17. Time</w:t>
      </w:r>
    </w:p>
    <w:p>
      <w:r>
        <w:t>Do not rely on perfectly synchronized clocks for correctness.</w:t>
      </w:r>
    </w:p>
    <w:p>
      <w:pPr>
        <w:pStyle w:val="Heading1"/>
      </w:pPr>
      <w:r>
        <w:t>18. Clock Skew</w:t>
      </w:r>
    </w:p>
    <w:p>
      <w:r>
        <w:t>Use monotonic clocks for durations where possible and tolerate wall-clock skew.</w:t>
      </w:r>
    </w:p>
    <w:p>
      <w:pPr>
        <w:pStyle w:val="Heading1"/>
      </w:pPr>
      <w:r>
        <w:t>19. Timeouts</w:t>
      </w:r>
    </w:p>
    <w:p>
      <w:r>
        <w:t>Distributed calls require explicit deadlines.</w:t>
      </w:r>
    </w:p>
    <w:p>
      <w:pPr>
        <w:pStyle w:val="Heading1"/>
      </w:pPr>
      <w:r>
        <w:t>20. Retries</w:t>
      </w:r>
    </w:p>
    <w:p>
      <w:r>
        <w:t>Bound retries and avoid synchronized retry storms.</w:t>
      </w:r>
    </w:p>
    <w:p>
      <w:pPr>
        <w:pStyle w:val="Heading1"/>
      </w:pPr>
      <w:r>
        <w:t>21. Backoff and Jitter</w:t>
      </w:r>
    </w:p>
    <w:p>
      <w:r>
        <w:t>Use exponential or appropriate backoff with jitter.</w:t>
      </w:r>
    </w:p>
    <w:p>
      <w:pPr>
        <w:pStyle w:val="Heading1"/>
      </w:pPr>
      <w:r>
        <w:t>22. Queues</w:t>
      </w:r>
    </w:p>
    <w:p>
      <w:r>
        <w:t>Define durability, retention, visibility/lease and maximum age.</w:t>
      </w:r>
    </w:p>
    <w:p>
      <w:pPr>
        <w:pStyle w:val="Heading1"/>
      </w:pPr>
      <w:r>
        <w:t>23. Poison Messages</w:t>
      </w:r>
    </w:p>
    <w:p>
      <w:r>
        <w:t>Quarantine repeatedly failing messages.</w:t>
      </w:r>
    </w:p>
    <w:p>
      <w:pPr>
        <w:pStyle w:val="Heading1"/>
      </w:pPr>
      <w:r>
        <w:t>24. Dead-Letter Handling</w:t>
      </w:r>
    </w:p>
    <w:p>
      <w:r>
        <w:t>DLQs require ownership, alerts, diagnosis and controlled replay.</w:t>
      </w:r>
    </w:p>
    <w:p>
      <w:pPr>
        <w:pStyle w:val="Heading1"/>
      </w:pPr>
      <w:r>
        <w:t>25. Replay</w:t>
      </w:r>
    </w:p>
    <w:p>
      <w:r>
        <w:t>Replay must preserve authorisation and side-effect safety.</w:t>
      </w:r>
    </w:p>
    <w:p>
      <w:pPr>
        <w:pStyle w:val="Heading1"/>
      </w:pPr>
      <w:r>
        <w:t>26. Event Sourcing</w:t>
      </w:r>
    </w:p>
    <w:p>
      <w:r>
        <w:t>Adopt only through explicit architecture decision; event logs are not automatically systems of record.</w:t>
      </w:r>
    </w:p>
    <w:p>
      <w:pPr>
        <w:pStyle w:val="Heading1"/>
      </w:pPr>
      <w:r>
        <w:t>27. CQRS</w:t>
      </w:r>
    </w:p>
    <w:p>
      <w:r>
        <w:t>Use only when complexity is justified by workload and consistency needs.</w:t>
      </w:r>
    </w:p>
    <w:p>
      <w:pPr>
        <w:pStyle w:val="Heading1"/>
      </w:pPr>
      <w:r>
        <w:t>28. Consistency</w:t>
      </w:r>
    </w:p>
    <w:p>
      <w:r>
        <w:t>Choose strong, causal or eventual consistency deliberately.</w:t>
      </w:r>
    </w:p>
    <w:p>
      <w:pPr>
        <w:pStyle w:val="Heading1"/>
      </w:pPr>
      <w:r>
        <w:t>29. Sagas</w:t>
      </w:r>
    </w:p>
    <w:p>
      <w:r>
        <w:t>Multi-service transactions require explicit orchestration/choreography and compensation.</w:t>
      </w:r>
    </w:p>
    <w:p>
      <w:pPr>
        <w:pStyle w:val="Heading1"/>
      </w:pPr>
      <w:r>
        <w:t>30. Distributed Locks</w:t>
      </w:r>
    </w:p>
    <w:p>
      <w:r>
        <w:t>Use cautiously; define expiry, fencing and failure semantics.</w:t>
      </w:r>
    </w:p>
    <w:p>
      <w:pPr>
        <w:pStyle w:val="Heading1"/>
      </w:pPr>
      <w:r>
        <w:t>31. Leader Election</w:t>
      </w:r>
    </w:p>
    <w:p>
      <w:r>
        <w:t>Use proven mechanisms rather than ad hoc coordination.</w:t>
      </w:r>
    </w:p>
    <w:p>
      <w:pPr>
        <w:pStyle w:val="Heading1"/>
      </w:pPr>
      <w:r>
        <w:t>32. Split Brain</w:t>
      </w:r>
    </w:p>
    <w:p>
      <w:r>
        <w:t>Design detection and safe behaviour for conflicting leaders where relevant.</w:t>
      </w:r>
    </w:p>
    <w:p>
      <w:pPr>
        <w:pStyle w:val="Heading1"/>
      </w:pPr>
      <w:r>
        <w:t>33. Network Partitions</w:t>
      </w:r>
    </w:p>
    <w:p>
      <w:r>
        <w:t>Define whether availability or consistency is preferred per operation.</w:t>
      </w:r>
    </w:p>
    <w:p>
      <w:pPr>
        <w:pStyle w:val="Heading1"/>
      </w:pPr>
      <w:r>
        <w:t>34. Agent Messaging</w:t>
      </w:r>
    </w:p>
    <w:p>
      <w:r>
        <w:t>Agent messages carry identity and delegation context; text cannot create authority.</w:t>
      </w:r>
    </w:p>
    <w:p>
      <w:pPr>
        <w:pStyle w:val="Heading1"/>
      </w:pPr>
      <w:r>
        <w:t>35. Multi-Agent Coordination</w:t>
      </w:r>
    </w:p>
    <w:p>
      <w:r>
        <w:t>Bound delegation depth, fan-out and loop formation.</w:t>
      </w:r>
    </w:p>
    <w:p>
      <w:pPr>
        <w:pStyle w:val="Heading1"/>
      </w:pPr>
      <w:r>
        <w:t>36. Message Injection</w:t>
      </w:r>
    </w:p>
    <w:p>
      <w:r>
        <w:t>Treat message content as untrusted unless authenticated policy channels explicitly say otherwise.</w:t>
      </w:r>
    </w:p>
    <w:p>
      <w:pPr>
        <w:pStyle w:val="Heading1"/>
      </w:pPr>
      <w:r>
        <w:t>37. Tenant Isolation</w:t>
      </w:r>
    </w:p>
    <w:p>
      <w:r>
        <w:t>Prevent cross-tenant topics, subscriptions and routing.</w:t>
      </w:r>
    </w:p>
    <w:p>
      <w:pPr>
        <w:pStyle w:val="Heading1"/>
      </w:pPr>
      <w:r>
        <w:t>38. Confidentiality</w:t>
      </w:r>
    </w:p>
    <w:p>
      <w:r>
        <w:t>Encrypt and authorise sensitive message paths.</w:t>
      </w:r>
    </w:p>
    <w:p>
      <w:pPr>
        <w:pStyle w:val="Heading1"/>
      </w:pPr>
      <w:r>
        <w:t>39. Broker Security</w:t>
      </w:r>
    </w:p>
    <w:p>
      <w:r>
        <w:t>Use least-privilege producer/consumer identities.</w:t>
      </w:r>
    </w:p>
    <w:p>
      <w:pPr>
        <w:pStyle w:val="Heading1"/>
      </w:pPr>
      <w:r>
        <w:t>40. Observability</w:t>
      </w:r>
    </w:p>
    <w:p>
      <w:r>
        <w:t>Track publish/consume rates, lag, queue depth, retries, DLQ and end-to-end latency.</w:t>
      </w:r>
    </w:p>
    <w:p>
      <w:pPr>
        <w:pStyle w:val="Heading1"/>
      </w:pPr>
      <w:r>
        <w:t>41. Tracing</w:t>
      </w:r>
    </w:p>
    <w:p>
      <w:r>
        <w:t>Propagate trace/correlation context without leaking secrets.</w:t>
      </w:r>
    </w:p>
    <w:p>
      <w:pPr>
        <w:pStyle w:val="Heading1"/>
      </w:pPr>
      <w:r>
        <w:t>42. Schema Evolution Testing</w:t>
      </w:r>
    </w:p>
    <w:p>
      <w:r>
        <w:t>Test old/new producer-consumer combinations.</w:t>
      </w:r>
    </w:p>
    <w:p>
      <w:pPr>
        <w:pStyle w:val="Heading1"/>
      </w:pPr>
      <w:r>
        <w:t>43. Failure Testing</w:t>
      </w:r>
    </w:p>
    <w:p>
      <w:r>
        <w:t>Test duplicates, reordering, loss, delay, partition and broker restart.</w:t>
      </w:r>
    </w:p>
    <w:p>
      <w:pPr>
        <w:pStyle w:val="Heading1"/>
      </w:pPr>
      <w:r>
        <w:t>44. Local-First Bootstrap</w:t>
      </w:r>
    </w:p>
    <w:p>
      <w:r>
        <w:t>Phase 1 may begin with an in-process or lightweight durable bus if semantics are explicit and migration is planned.</w:t>
      </w:r>
    </w:p>
    <w:p>
      <w:pPr>
        <w:pStyle w:val="Heading1"/>
      </w:pPr>
      <w:r>
        <w:t>45. Technology Neutrality</w:t>
      </w:r>
    </w:p>
    <w:p>
      <w:r>
        <w:t>Architecture contracts should not unnecessarily depend on one broker.</w:t>
      </w:r>
    </w:p>
    <w:p>
      <w:pPr>
        <w:pStyle w:val="Heading1"/>
      </w:pPr>
      <w:r>
        <w:t>46. Claude Code</w:t>
      </w:r>
    </w:p>
    <w:p>
      <w:r>
        <w:t>May implement messaging adapters but cannot invent delivery guarantees unsupported by the chosen technology.</w:t>
      </w:r>
    </w:p>
    <w:p>
      <w:pPr>
        <w:pStyle w:val="Heading1"/>
      </w:pPr>
      <w:r>
        <w:t>47. Prohibited Practices</w:t>
      </w:r>
    </w:p>
    <w:p>
      <w:r>
        <w:t>Assuming exactly-once by default; unversioned messages; infinite replay; unauthenticated privileged control messages; relying on global ordering; hidden cross-tenant topics.</w:t>
      </w:r>
    </w:p>
    <w:p>
      <w:pPr>
        <w:pStyle w:val="Heading1"/>
      </w:pPr>
      <w:r>
        <w:t>48. Phase 1 Minimum</w:t>
      </w:r>
    </w:p>
    <w:p>
      <w:r>
        <w:t>Versioned envelope, IDs, correlation, bounded retries, idempotency guidance, DLQ strategy and observability.</w:t>
      </w:r>
    </w:p>
    <w:p>
      <w:pPr>
        <w:pStyle w:val="Heading1"/>
      </w:pPr>
      <w:r>
        <w:t>49. Open Questions</w:t>
      </w:r>
    </w:p>
    <w:p>
      <w:r>
        <w:t>Which Phase 1 bus is selected? What canonical envelope format applies? Which events become durable?</w:t>
      </w:r>
    </w:p>
    <w:p>
      <w:pPr>
        <w:pStyle w:val="Heading1"/>
      </w:pPr>
      <w:r>
        <w:t>Appendix A – Compliance Review Checklist</w:t>
      </w:r>
    </w:p>
    <w:p>
      <w:r>
        <w:t>□ Accountable owner identified</w:t>
      </w:r>
    </w:p>
    <w:p>
      <w:r>
        <w:t>□ Scope and boundaries documented</w:t>
      </w:r>
    </w:p>
    <w:p>
      <w:r>
        <w:t>□ Risks classified</w:t>
      </w:r>
    </w:p>
    <w:p>
      <w:r>
        <w:t>□ Mandatory controls implemented</w:t>
      </w:r>
    </w:p>
    <w:p>
      <w:r>
        <w:t>□ Negative paths tested</w:t>
      </w:r>
    </w:p>
    <w:p>
      <w:r>
        <w:t>□ Observability enabled</w:t>
      </w:r>
    </w:p>
    <w:p>
      <w:r>
        <w:t>□ Recovery/revocation path tested</w:t>
      </w:r>
    </w:p>
    <w:p>
      <w:r>
        <w:t>□ Exceptions documented</w:t>
      </w:r>
    </w:p>
    <w:p>
      <w:r>
        <w:t>□ Evidence retained</w:t>
      </w:r>
    </w:p>
    <w:p>
      <w:r>
        <w:t>□ Review date assigned</w:t>
      </w:r>
    </w:p>
    <w:p>
      <w:pPr>
        <w:pStyle w:val="Heading1"/>
      </w:pPr>
      <w:r>
        <w:t>Appendix B – Exception Record Template</w:t>
      </w:r>
    </w:p>
    <w:p>
      <w:r>
        <w:t>Exception ID:</w:t>
      </w:r>
    </w:p>
    <w:p>
      <w:r>
        <w:t>Requirement:</w:t>
      </w:r>
    </w:p>
    <w:p>
      <w:r>
        <w:t>Owner:</w:t>
      </w:r>
    </w:p>
    <w:p>
      <w:r>
        <w:t>Rationale:</w:t>
      </w:r>
    </w:p>
    <w:p>
      <w:r>
        <w:t>Scope:</w:t>
      </w:r>
    </w:p>
    <w:p>
      <w:r>
        <w:t>Risk:</w:t>
      </w:r>
    </w:p>
    <w:p>
      <w:r>
        <w:t>Compensating Controls:</w:t>
      </w:r>
    </w:p>
    <w:p>
      <w:r>
        <w:t>Start Date:</w:t>
      </w:r>
    </w:p>
    <w:p>
      <w:r>
        <w:t>Expiry/Review Date:</w:t>
      </w:r>
    </w:p>
    <w:p>
      <w:r>
        <w:t>Approver:</w:t>
      </w:r>
    </w:p>
    <w:p>
      <w:r>
        <w:t>Closure Evidence:</w:t>
      </w:r>
    </w:p>
    <w:p>
      <w:pPr>
        <w:pStyle w:val="Heading1"/>
      </w:pPr>
      <w:r>
        <w:t>Appendix C – Implementation Evidence Template</w:t>
      </w:r>
    </w:p>
    <w:p>
      <w:r>
        <w:t>Implementation Reference:</w:t>
      </w:r>
    </w:p>
    <w:p>
      <w:r>
        <w:t>Repository/Component:</w:t>
      </w:r>
    </w:p>
    <w:p>
      <w:r>
        <w:t>Version/Commit:</w:t>
      </w:r>
    </w:p>
    <w:p>
      <w:r>
        <w:t>Tests:</w:t>
      </w:r>
    </w:p>
    <w:p>
      <w:r>
        <w:t>Test Evidence:</w:t>
      </w:r>
    </w:p>
    <w:p>
      <w:r>
        <w:t>Operational Evidence:</w:t>
      </w:r>
    </w:p>
    <w:p>
      <w:r>
        <w:t>Known Limitations:</w:t>
      </w:r>
    </w:p>
    <w:p>
      <w:r>
        <w:t>Reviewer:</w:t>
      </w:r>
    </w:p>
    <w:p>
      <w:r>
        <w:t>Review Date: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Security/Governance Review: 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