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II – Standards</w:t>
        <w:br/>
      </w:r>
      <w:r>
        <w:t>STD-029 – Developer SDK, Plugin &amp; Extension Standards</w:t>
        <w:br/>
        <w:t>Version 0.1.0 (Draft)</w:t>
      </w:r>
    </w:p>
    <w:p>
      <w:pPr>
        <w:jc w:val="center"/>
      </w:pPr>
      <w:r>
        <w:rPr>
          <w:i/>
        </w:rPr>
        <w:t>Controlled Engineering Standard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 ID</w:t>
            </w:r>
          </w:p>
        </w:tc>
        <w:tc>
          <w:tcPr>
            <w:tcW w:type="dxa" w:w="4896"/>
          </w:tcPr>
          <w:p>
            <w:r>
              <w:t>STD-029</w:t>
            </w:r>
          </w:p>
        </w:tc>
      </w:tr>
      <w:tr>
        <w:tc>
          <w:tcPr>
            <w:tcW w:type="dxa" w:w="4896"/>
          </w:tcPr>
          <w:p>
            <w:r>
              <w:t>Title</w:t>
            </w:r>
          </w:p>
        </w:tc>
        <w:tc>
          <w:tcPr>
            <w:tcW w:type="dxa" w:w="4896"/>
          </w:tcPr>
          <w:p>
            <w:r>
              <w:t>Developer SDK, Plugin &amp; Extension Standards</w:t>
            </w:r>
          </w:p>
        </w:tc>
      </w:tr>
      <w:tr>
        <w:tc>
          <w:tcPr>
            <w:tcW w:type="dxa" w:w="4896"/>
          </w:tcPr>
          <w:p>
            <w:r>
              <w:t>Volume</w:t>
            </w:r>
          </w:p>
        </w:tc>
        <w:tc>
          <w:tcPr>
            <w:tcW w:type="dxa" w:w="4896"/>
          </w:tcPr>
          <w:p>
            <w:r>
              <w:t>Volume II – Standards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0.1.0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Draft</w:t>
            </w:r>
          </w:p>
        </w:tc>
      </w:tr>
      <w:tr>
        <w:tc>
          <w:tcPr>
            <w:tcW w:type="dxa" w:w="4896"/>
          </w:tcPr>
          <w:p>
            <w:r>
              <w:t>Author</w:t>
            </w:r>
          </w:p>
        </w:tc>
        <w:tc>
          <w:tcPr>
            <w:tcW w:type="dxa" w:w="4896"/>
          </w:tcPr>
          <w:p>
            <w:r>
              <w:t>Denver Jacobs</w:t>
            </w:r>
          </w:p>
        </w:tc>
      </w:tr>
      <w:tr>
        <w:tc>
          <w:tcPr>
            <w:tcW w:type="dxa" w:w="4896"/>
          </w:tcPr>
          <w:p>
            <w:r>
              <w:t>Reviewers</w:t>
            </w:r>
          </w:p>
        </w:tc>
        <w:tc>
          <w:tcPr>
            <w:tcW w:type="dxa" w:w="4896"/>
          </w:tcPr>
          <w:p>
            <w:r>
              <w:t>TBD</w:t>
            </w:r>
          </w:p>
        </w:tc>
      </w:tr>
      <w:tr>
        <w:tc>
          <w:tcPr>
            <w:tcW w:type="dxa" w:w="4896"/>
          </w:tcPr>
          <w:p>
            <w:r>
              <w:t>Created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Last Updated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Public</w:t>
            </w:r>
          </w:p>
        </w:tc>
      </w:tr>
      <w:tr>
        <w:tc>
          <w:tcPr>
            <w:tcW w:type="dxa" w:w="4896"/>
          </w:tcPr>
          <w:p>
            <w:r>
              <w:t>Related Documents</w:t>
            </w:r>
          </w:p>
        </w:tc>
        <w:tc>
          <w:tcPr>
            <w:tcW w:type="dxa" w:w="4896"/>
          </w:tcPr>
          <w:p>
            <w:r>
              <w:t>GOV-001 through GOV-010; applicable STD standards</w:t>
            </w:r>
          </w:p>
        </w:tc>
      </w:tr>
    </w:tbl>
    <w:p>
      <w:pPr>
        <w:pStyle w:val="Heading1"/>
      </w:pPr>
      <w:r>
        <w:t>Normative Language</w:t>
      </w:r>
    </w:p>
    <w:p>
      <w:r>
        <w:t>The terms SHALL, MUST, SHOULD, MAY and MUST NOT indicate requirement strength. Mandatory requirements remain subject to approved project governance and documented exceptions.</w:t>
      </w:r>
    </w:p>
    <w:p>
      <w:pPr>
        <w:pStyle w:val="Heading1"/>
      </w:pPr>
      <w:r>
        <w:t>1. Purpose</w:t>
      </w:r>
    </w:p>
    <w:p>
      <w:r>
        <w:t>Define how third-party and internal developers extend SynapseOS through SDKs, plugins, modules and integrations.</w:t>
      </w:r>
    </w:p>
    <w:p>
      <w:pPr>
        <w:pStyle w:val="Heading1"/>
      </w:pPr>
      <w:r>
        <w:t>2. Scope</w:t>
      </w:r>
    </w:p>
    <w:p>
      <w:r>
        <w:t>Applies to SDKs, plugin APIs, extension manifests, hooks, tools, modules, connectors and developer documentation.</w:t>
      </w:r>
    </w:p>
    <w:p>
      <w:pPr>
        <w:pStyle w:val="Heading1"/>
      </w:pPr>
      <w:r>
        <w:t>3. Foundational Principles</w:t>
      </w:r>
    </w:p>
    <w:p>
      <w:r>
        <w:t>Extensions are untrusted by default; contracts are versioned; permissions are explicit; failure is isolated; portability matters.</w:t>
      </w:r>
    </w:p>
    <w:p>
      <w:pPr>
        <w:pStyle w:val="Heading1"/>
      </w:pPr>
      <w:r>
        <w:t>4. Extension Types</w:t>
      </w:r>
    </w:p>
    <w:p>
      <w:r>
        <w:t>Tools, connectors, cognitive modules, storage adapters, model providers, UI extensions and event consumers.</w:t>
      </w:r>
    </w:p>
    <w:p>
      <w:pPr>
        <w:pStyle w:val="Heading1"/>
      </w:pPr>
      <w:r>
        <w:t>5. Plugin Identity</w:t>
      </w:r>
    </w:p>
    <w:p>
      <w:r>
        <w:t>Every plugin requires stable ID, name, publisher/owner, version and manifest.</w:t>
      </w:r>
    </w:p>
    <w:p>
      <w:pPr>
        <w:pStyle w:val="Heading1"/>
      </w:pPr>
      <w:r>
        <w:t>6. Manifest</w:t>
      </w:r>
    </w:p>
    <w:p>
      <w:r>
        <w:t>Declare compatibility, entry points, capabilities, data access, network access, configuration and dependencies.</w:t>
      </w:r>
    </w:p>
    <w:p>
      <w:pPr>
        <w:pStyle w:val="Heading1"/>
      </w:pPr>
      <w:r>
        <w:t>7. Capability Declaration</w:t>
      </w:r>
    </w:p>
    <w:p>
      <w:r>
        <w:t>Plugins request explicit capabilities; installation does not imply unrestricted authority.</w:t>
      </w:r>
    </w:p>
    <w:p>
      <w:pPr>
        <w:pStyle w:val="Heading1"/>
      </w:pPr>
      <w:r>
        <w:t>8. Permission Review</w:t>
      </w:r>
    </w:p>
    <w:p>
      <w:r>
        <w:t>High-impact permissions require human review and may be denied.</w:t>
      </w:r>
    </w:p>
    <w:p>
      <w:pPr>
        <w:pStyle w:val="Heading1"/>
      </w:pPr>
      <w:r>
        <w:t>9. Runtime Isolation</w:t>
      </w:r>
    </w:p>
    <w:p>
      <w:r>
        <w:t>Use process, container, sandbox or equivalent isolation proportional to risk.</w:t>
      </w:r>
    </w:p>
    <w:p>
      <w:pPr>
        <w:pStyle w:val="Heading1"/>
      </w:pPr>
      <w:r>
        <w:t>10. Failure Isolation</w:t>
      </w:r>
    </w:p>
    <w:p>
      <w:r>
        <w:t>Plugin failure must not crash the kernel where architecture can prevent it.</w:t>
      </w:r>
    </w:p>
    <w:p>
      <w:pPr>
        <w:pStyle w:val="Heading1"/>
      </w:pPr>
      <w:r>
        <w:t>11. Resource Limits</w:t>
      </w:r>
    </w:p>
    <w:p>
      <w:r>
        <w:t>Bound CPU, memory, time, concurrency, network and storage.</w:t>
      </w:r>
    </w:p>
    <w:p>
      <w:pPr>
        <w:pStyle w:val="Heading1"/>
      </w:pPr>
      <w:r>
        <w:t>12. Lifecycle</w:t>
      </w:r>
    </w:p>
    <w:p>
      <w:r>
        <w:t>Discovered, Installed, Enabled, Disabled, Suspended, Deprecated and Removed.</w:t>
      </w:r>
    </w:p>
    <w:p>
      <w:pPr>
        <w:pStyle w:val="Heading1"/>
      </w:pPr>
      <w:r>
        <w:t>13. Installation</w:t>
      </w:r>
    </w:p>
    <w:p>
      <w:r>
        <w:t>Verify source, package integrity, compatibility and permissions.</w:t>
      </w:r>
    </w:p>
    <w:p>
      <w:pPr>
        <w:pStyle w:val="Heading1"/>
      </w:pPr>
      <w:r>
        <w:t>14. Updates</w:t>
      </w:r>
    </w:p>
    <w:p>
      <w:r>
        <w:t>Treat updates as supply-chain changes; re-review material permission changes.</w:t>
      </w:r>
    </w:p>
    <w:p>
      <w:pPr>
        <w:pStyle w:val="Heading1"/>
      </w:pPr>
      <w:r>
        <w:t>15. Uninstall</w:t>
      </w:r>
    </w:p>
    <w:p>
      <w:r>
        <w:t>Define cleanup of configuration, credentials, data and registrations.</w:t>
      </w:r>
    </w:p>
    <w:p>
      <w:pPr>
        <w:pStyle w:val="Heading1"/>
      </w:pPr>
      <w:r>
        <w:t>16. SDK Design</w:t>
      </w:r>
    </w:p>
    <w:p>
      <w:r>
        <w:t>Prefer small stable interfaces, clear errors, typed schemas and language-neutral contracts where practical.</w:t>
      </w:r>
    </w:p>
    <w:p>
      <w:pPr>
        <w:pStyle w:val="Heading1"/>
      </w:pPr>
      <w:r>
        <w:t>17. API Stability</w:t>
      </w:r>
    </w:p>
    <w:p>
      <w:r>
        <w:t>Use semantic versioning and explicit deprecation.</w:t>
      </w:r>
    </w:p>
    <w:p>
      <w:pPr>
        <w:pStyle w:val="Heading1"/>
      </w:pPr>
      <w:r>
        <w:t>18. Backward Compatibility</w:t>
      </w:r>
    </w:p>
    <w:p>
      <w:r>
        <w:t>Document supported compatibility windows.</w:t>
      </w:r>
    </w:p>
    <w:p>
      <w:pPr>
        <w:pStyle w:val="Heading1"/>
      </w:pPr>
      <w:r>
        <w:t>19. Feature Detection</w:t>
      </w:r>
    </w:p>
    <w:p>
      <w:r>
        <w:t>Prefer capability discovery over brittle version assumptions.</w:t>
      </w:r>
    </w:p>
    <w:p>
      <w:pPr>
        <w:pStyle w:val="Heading1"/>
      </w:pPr>
      <w:r>
        <w:t>20. Extension Points</w:t>
      </w:r>
    </w:p>
    <w:p>
      <w:r>
        <w:t>Keep kernel extension points deliberate and minimal.</w:t>
      </w:r>
    </w:p>
    <w:p>
      <w:pPr>
        <w:pStyle w:val="Heading1"/>
      </w:pPr>
      <w:r>
        <w:t>21. Hooks</w:t>
      </w:r>
    </w:p>
    <w:p>
      <w:r>
        <w:t>Define ordering, timeout, failure and mutation semantics.</w:t>
      </w:r>
    </w:p>
    <w:p>
      <w:pPr>
        <w:pStyle w:val="Heading1"/>
      </w:pPr>
      <w:r>
        <w:t>22. Events</w:t>
      </w:r>
    </w:p>
    <w:p>
      <w:r>
        <w:t>Use versioned event contracts and do not expose sensitive data by default.</w:t>
      </w:r>
    </w:p>
    <w:p>
      <w:pPr>
        <w:pStyle w:val="Heading1"/>
      </w:pPr>
      <w:r>
        <w:t>23. Tools</w:t>
      </w:r>
    </w:p>
    <w:p>
      <w:r>
        <w:t>Plugin-provided tools follow STD-022.</w:t>
      </w:r>
    </w:p>
    <w:p>
      <w:pPr>
        <w:pStyle w:val="Heading1"/>
      </w:pPr>
      <w:r>
        <w:t>24. Agent Integration</w:t>
      </w:r>
    </w:p>
    <w:p>
      <w:r>
        <w:t>Plugin agents follow STD-021 and cannot self-grant capabilities.</w:t>
      </w:r>
    </w:p>
    <w:p>
      <w:pPr>
        <w:pStyle w:val="Heading1"/>
      </w:pPr>
      <w:r>
        <w:t>25. Model Providers</w:t>
      </w:r>
    </w:p>
    <w:p>
      <w:r>
        <w:t>Adapters follow STD-019 and expose model identity/configuration.</w:t>
      </w:r>
    </w:p>
    <w:p>
      <w:pPr>
        <w:pStyle w:val="Heading1"/>
      </w:pPr>
      <w:r>
        <w:t>26. Memory Providers</w:t>
      </w:r>
    </w:p>
    <w:p>
      <w:r>
        <w:t>Adapters follow STD-020 and preserve namespace/provenance semantics.</w:t>
      </w:r>
    </w:p>
    <w:p>
      <w:pPr>
        <w:pStyle w:val="Heading1"/>
      </w:pPr>
      <w:r>
        <w:t>27. Connectors</w:t>
      </w:r>
    </w:p>
    <w:p>
      <w:r>
        <w:t>Preserve source permissions and revocation.</w:t>
      </w:r>
    </w:p>
    <w:p>
      <w:pPr>
        <w:pStyle w:val="Heading1"/>
      </w:pPr>
      <w:r>
        <w:t>28. Authentication</w:t>
      </w:r>
    </w:p>
    <w:p>
      <w:r>
        <w:t>Use scoped credentials and standard flows; avoid collecting raw passwords.</w:t>
      </w:r>
    </w:p>
    <w:p>
      <w:pPr>
        <w:pStyle w:val="Heading1"/>
      </w:pPr>
      <w:r>
        <w:t>29. Secrets</w:t>
      </w:r>
    </w:p>
    <w:p>
      <w:r>
        <w:t>Store via approved secret mechanisms.</w:t>
      </w:r>
    </w:p>
    <w:p>
      <w:pPr>
        <w:pStyle w:val="Heading1"/>
      </w:pPr>
      <w:r>
        <w:t>30. Network Access</w:t>
      </w:r>
    </w:p>
    <w:p>
      <w:r>
        <w:t>Declare and constrain external destinations where feasible.</w:t>
      </w:r>
    </w:p>
    <w:p>
      <w:pPr>
        <w:pStyle w:val="Heading1"/>
      </w:pPr>
      <w:r>
        <w:t>31. Data Access</w:t>
      </w:r>
    </w:p>
    <w:p>
      <w:r>
        <w:t>Declare data classes and tenant scope.</w:t>
      </w:r>
    </w:p>
    <w:p>
      <w:pPr>
        <w:pStyle w:val="Heading1"/>
      </w:pPr>
      <w:r>
        <w:t>32. Telemetry</w:t>
      </w:r>
    </w:p>
    <w:p>
      <w:r>
        <w:t>Disclose plugin telemetry; hidden telemetry is prohibited.</w:t>
      </w:r>
    </w:p>
    <w:p>
      <w:pPr>
        <w:pStyle w:val="Heading1"/>
      </w:pPr>
      <w:r>
        <w:t>33. Privacy</w:t>
      </w:r>
    </w:p>
    <w:p>
      <w:r>
        <w:t>Plugins follow STD-015 and cannot repurpose data silently.</w:t>
      </w:r>
    </w:p>
    <w:p>
      <w:pPr>
        <w:pStyle w:val="Heading1"/>
      </w:pPr>
      <w:r>
        <w:t>34. Security</w:t>
      </w:r>
    </w:p>
    <w:p>
      <w:r>
        <w:t>Validate inputs, isolate execution and support vulnerability response.</w:t>
      </w:r>
    </w:p>
    <w:p>
      <w:pPr>
        <w:pStyle w:val="Heading1"/>
      </w:pPr>
      <w:r>
        <w:t>35. Signing</w:t>
      </w:r>
    </w:p>
    <w:p>
      <w:r>
        <w:t>Future registries MAY require package signing and publisher identity.</w:t>
      </w:r>
    </w:p>
    <w:p>
      <w:pPr>
        <w:pStyle w:val="Heading1"/>
      </w:pPr>
      <w:r>
        <w:t>36. Marketplace</w:t>
      </w:r>
    </w:p>
    <w:p>
      <w:r>
        <w:t>If created, distinguish verification, security review and endorsement clearly.</w:t>
      </w:r>
    </w:p>
    <w:p>
      <w:pPr>
        <w:pStyle w:val="Heading1"/>
      </w:pPr>
      <w:r>
        <w:t>37. Trust Levels</w:t>
      </w:r>
    </w:p>
    <w:p>
      <w:r>
        <w:t>Unverified, Verified Publisher, Reviewed and Privileged categories MAY be introduced.</w:t>
      </w:r>
    </w:p>
    <w:p>
      <w:pPr>
        <w:pStyle w:val="Heading1"/>
      </w:pPr>
      <w:r>
        <w:t>38. Documentation</w:t>
      </w:r>
    </w:p>
    <w:p>
      <w:r>
        <w:t>Provide quickstart, API reference, examples, permissions and migration guidance.</w:t>
      </w:r>
    </w:p>
    <w:p>
      <w:pPr>
        <w:pStyle w:val="Heading1"/>
      </w:pPr>
      <w:r>
        <w:t>39. Examples</w:t>
      </w:r>
    </w:p>
    <w:p>
      <w:r>
        <w:t>Examples must be secure by default and maintained.</w:t>
      </w:r>
    </w:p>
    <w:p>
      <w:pPr>
        <w:pStyle w:val="Heading1"/>
      </w:pPr>
      <w:r>
        <w:t>40. Error Handling</w:t>
      </w:r>
    </w:p>
    <w:p>
      <w:r>
        <w:t>Use stable error categories and actionable messages.</w:t>
      </w:r>
    </w:p>
    <w:p>
      <w:pPr>
        <w:pStyle w:val="Heading1"/>
      </w:pPr>
      <w:r>
        <w:t>41. Testing</w:t>
      </w:r>
    </w:p>
    <w:p>
      <w:r>
        <w:t>Provide contract tests, compatibility tests and plugin harnesses.</w:t>
      </w:r>
    </w:p>
    <w:p>
      <w:pPr>
        <w:pStyle w:val="Heading1"/>
      </w:pPr>
      <w:r>
        <w:t>42. Conformance</w:t>
      </w:r>
    </w:p>
    <w:p>
      <w:r>
        <w:t>A future conformance suite SHOULD validate manifests, lifecycle and capability behaviour.</w:t>
      </w:r>
    </w:p>
    <w:p>
      <w:pPr>
        <w:pStyle w:val="Heading1"/>
      </w:pPr>
      <w:r>
        <w:t>43. Developer Experience</w:t>
      </w:r>
    </w:p>
    <w:p>
      <w:r>
        <w:t>Prioritise clear setup and diagnostics without weakening security.</w:t>
      </w:r>
    </w:p>
    <w:p>
      <w:pPr>
        <w:pStyle w:val="Heading1"/>
      </w:pPr>
      <w:r>
        <w:t>44. Local Development</w:t>
      </w:r>
    </w:p>
    <w:p>
      <w:r>
        <w:t>Support local plugin testing with non-production credentials.</w:t>
      </w:r>
    </w:p>
    <w:p>
      <w:pPr>
        <w:pStyle w:val="Heading1"/>
      </w:pPr>
      <w:r>
        <w:t>45. Hot Reload</w:t>
      </w:r>
    </w:p>
    <w:p>
      <w:r>
        <w:t>If supported, constrain state and production use.</w:t>
      </w:r>
    </w:p>
    <w:p>
      <w:pPr>
        <w:pStyle w:val="Heading1"/>
      </w:pPr>
      <w:r>
        <w:t>46. Dependency Management</w:t>
      </w:r>
    </w:p>
    <w:p>
      <w:r>
        <w:t>Plugins declare and pin dependencies according to STD-011.</w:t>
      </w:r>
    </w:p>
    <w:p>
      <w:pPr>
        <w:pStyle w:val="Heading1"/>
      </w:pPr>
      <w:r>
        <w:t>47. Licensing</w:t>
      </w:r>
    </w:p>
    <w:p>
      <w:r>
        <w:t>Declare plugin licence and third-party obligations.</w:t>
      </w:r>
    </w:p>
    <w:p>
      <w:pPr>
        <w:pStyle w:val="Heading1"/>
      </w:pPr>
      <w:r>
        <w:t>48. Open Source</w:t>
      </w:r>
    </w:p>
    <w:p>
      <w:r>
        <w:t>Public extensions require no special trust exemption.</w:t>
      </w:r>
    </w:p>
    <w:p>
      <w:pPr>
        <w:pStyle w:val="Heading1"/>
      </w:pPr>
      <w:r>
        <w:t>49. Revocation</w:t>
      </w:r>
    </w:p>
    <w:p>
      <w:r>
        <w:t>Platform operators must be able to disable compromised plugins.</w:t>
      </w:r>
    </w:p>
    <w:p>
      <w:pPr>
        <w:pStyle w:val="Heading1"/>
      </w:pPr>
      <w:r>
        <w:t>50. Kill Switch</w:t>
      </w:r>
    </w:p>
    <w:p>
      <w:r>
        <w:t>High-risk extension classes SHOULD support rapid disablement.</w:t>
      </w:r>
    </w:p>
    <w:p>
      <w:pPr>
        <w:pStyle w:val="Heading1"/>
      </w:pPr>
      <w:r>
        <w:t>51. Claude Code</w:t>
      </w:r>
    </w:p>
    <w:p>
      <w:r>
        <w:t>May scaffold plugins/SDKs but must not fabricate compatibility, tests or permissions.</w:t>
      </w:r>
    </w:p>
    <w:p>
      <w:pPr>
        <w:pStyle w:val="Heading1"/>
      </w:pPr>
      <w:r>
        <w:t>52. Prohibited Practices</w:t>
      </w:r>
    </w:p>
    <w:p>
      <w:r>
        <w:t>Undeclared permissions; hidden telemetry; unrestricted kernel access; silent permission expansion on update; plugin secrets in source; unbounded hooks.</w:t>
      </w:r>
    </w:p>
    <w:p>
      <w:pPr>
        <w:pStyle w:val="Heading1"/>
      </w:pPr>
      <w:r>
        <w:t>53. Phase 1 Minimum</w:t>
      </w:r>
    </w:p>
    <w:p>
      <w:r>
        <w:t>Manifest, stable ID/version, explicit capabilities, lifecycle, SDK contract, sample plugin and conformance smoke tests.</w:t>
      </w:r>
    </w:p>
    <w:p>
      <w:pPr>
        <w:pStyle w:val="Heading1"/>
      </w:pPr>
      <w:r>
        <w:t>54. Open Questions</w:t>
      </w:r>
    </w:p>
    <w:p>
      <w:r>
        <w:t>Which implementation language is first-class? What manifest format applies? Will plugins run in-process initially? What compatibility promise is realistic?</w:t>
      </w:r>
    </w:p>
    <w:p>
      <w:pPr>
        <w:pStyle w:val="Heading1"/>
      </w:pPr>
      <w:r>
        <w:t>Appendix A – Compliance Review Checklist</w:t>
      </w:r>
    </w:p>
    <w:p>
      <w:r>
        <w:t>□ Accountable owner identified</w:t>
      </w:r>
    </w:p>
    <w:p>
      <w:r>
        <w:t>□ Scope and boundaries documented</w:t>
      </w:r>
    </w:p>
    <w:p>
      <w:r>
        <w:t>□ Risks classified</w:t>
      </w:r>
    </w:p>
    <w:p>
      <w:r>
        <w:t>□ Mandatory controls implemented</w:t>
      </w:r>
    </w:p>
    <w:p>
      <w:r>
        <w:t>□ Negative paths tested</w:t>
      </w:r>
    </w:p>
    <w:p>
      <w:r>
        <w:t>□ Observability enabled</w:t>
      </w:r>
    </w:p>
    <w:p>
      <w:r>
        <w:t>□ Recovery/revocation path tested</w:t>
      </w:r>
    </w:p>
    <w:p>
      <w:r>
        <w:t>□ Exceptions documented</w:t>
      </w:r>
    </w:p>
    <w:p>
      <w:r>
        <w:t>□ Evidence retained</w:t>
      </w:r>
    </w:p>
    <w:p>
      <w:r>
        <w:t>□ Review date assigned</w:t>
      </w:r>
    </w:p>
    <w:p>
      <w:pPr>
        <w:pStyle w:val="Heading1"/>
      </w:pPr>
      <w:r>
        <w:t>Appendix B – Exception Record Template</w:t>
      </w:r>
    </w:p>
    <w:p>
      <w:r>
        <w:t>Exception ID:</w:t>
      </w:r>
    </w:p>
    <w:p>
      <w:r>
        <w:t>Requirement:</w:t>
      </w:r>
    </w:p>
    <w:p>
      <w:r>
        <w:t>Owner:</w:t>
      </w:r>
    </w:p>
    <w:p>
      <w:r>
        <w:t>Rationale:</w:t>
      </w:r>
    </w:p>
    <w:p>
      <w:r>
        <w:t>Scope:</w:t>
      </w:r>
    </w:p>
    <w:p>
      <w:r>
        <w:t>Risk:</w:t>
      </w:r>
    </w:p>
    <w:p>
      <w:r>
        <w:t>Compensating Controls:</w:t>
      </w:r>
    </w:p>
    <w:p>
      <w:r>
        <w:t>Start Date:</w:t>
      </w:r>
    </w:p>
    <w:p>
      <w:r>
        <w:t>Expiry/Review Date:</w:t>
      </w:r>
    </w:p>
    <w:p>
      <w:r>
        <w:t>Approver:</w:t>
      </w:r>
    </w:p>
    <w:p>
      <w:r>
        <w:t>Closure Evidence:</w:t>
      </w:r>
    </w:p>
    <w:p>
      <w:pPr>
        <w:pStyle w:val="Heading1"/>
      </w:pPr>
      <w:r>
        <w:t>Appendix C – Implementation Evidence Template</w:t>
      </w:r>
    </w:p>
    <w:p>
      <w:r>
        <w:t>Implementation Reference:</w:t>
      </w:r>
    </w:p>
    <w:p>
      <w:r>
        <w:t>Repository/Component:</w:t>
      </w:r>
    </w:p>
    <w:p>
      <w:r>
        <w:t>Version/Commit:</w:t>
      </w:r>
    </w:p>
    <w:p>
      <w:r>
        <w:t>Tests:</w:t>
      </w:r>
    </w:p>
    <w:p>
      <w:r>
        <w:t>Test Evidence:</w:t>
      </w:r>
    </w:p>
    <w:p>
      <w:r>
        <w:t>Operational Evidence:</w:t>
      </w:r>
    </w:p>
    <w:p>
      <w:r>
        <w:t>Known Limitations:</w:t>
      </w:r>
    </w:p>
    <w:p>
      <w:r>
        <w:t>Reviewer:</w:t>
      </w:r>
    </w:p>
    <w:p>
      <w:r>
        <w:t>Review Date: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Version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  <w:tc>
          <w:tcPr>
            <w:tcW w:type="dxa" w:w="2448"/>
          </w:tcPr>
          <w:p>
            <w:r>
              <w:t>Author</w:t>
            </w:r>
          </w:p>
        </w:tc>
        <w:tc>
          <w:tcPr>
            <w:tcW w:type="dxa" w:w="2448"/>
          </w:tcPr>
          <w:p>
            <w:r>
              <w:t>Description</w:t>
            </w:r>
          </w:p>
        </w:tc>
      </w:tr>
      <w:tr>
        <w:tc>
          <w:tcPr>
            <w:tcW w:type="dxa" w:w="2448"/>
          </w:tcPr>
          <w:p>
            <w:r>
              <w:t>0.1.0</w:t>
            </w:r>
          </w:p>
        </w:tc>
        <w:tc>
          <w:tcPr>
            <w:tcW w:type="dxa" w:w="2448"/>
          </w:tcPr>
          <w:p>
            <w:r>
              <w:t>2026-07-09</w:t>
            </w:r>
          </w:p>
        </w:tc>
        <w:tc>
          <w:tcPr>
            <w:tcW w:type="dxa" w:w="2448"/>
          </w:tcPr>
          <w:p>
            <w:r>
              <w:t>Denver Jacobs</w:t>
            </w:r>
          </w:p>
        </w:tc>
        <w:tc>
          <w:tcPr>
            <w:tcW w:type="dxa" w:w="2448"/>
          </w:tcPr>
          <w:p>
            <w:r>
              <w:t>Initial comprehensive draft</w:t>
            </w:r>
          </w:p>
        </w:tc>
      </w:tr>
    </w:tbl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Technical Review: _______________________  Date: __________</w:t>
        <w:br/>
        <w:br/>
        <w:t>Security/Governance Review: 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