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STD-030 – Research, Experimentation &amp; Future Capability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STD-030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Research, Experimentation &amp; Future Capability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disciplined research and experimentation for capabilities not yet approved as production architecture.</w:t>
      </w:r>
    </w:p>
    <w:p>
      <w:pPr>
        <w:pStyle w:val="Heading1"/>
      </w:pPr>
      <w:r>
        <w:t>2. Scope</w:t>
      </w:r>
    </w:p>
    <w:p>
      <w:r>
        <w:t>Applies to prototypes, model experiments, autonomous agents, novel memory, self-improvement, multi-agent systems, research datasets and future capability exploration.</w:t>
      </w:r>
    </w:p>
    <w:p>
      <w:pPr>
        <w:pStyle w:val="Heading1"/>
      </w:pPr>
      <w:r>
        <w:t>3. Foundational Principles</w:t>
      </w:r>
    </w:p>
    <w:p>
      <w:r>
        <w:t>Separate research from production; state hypotheses; preserve evidence; bound capability; stage exposure; negative results matter.</w:t>
      </w:r>
    </w:p>
    <w:p>
      <w:pPr>
        <w:pStyle w:val="Heading1"/>
      </w:pPr>
      <w:r>
        <w:t>4. Research Registry</w:t>
      </w:r>
    </w:p>
    <w:p>
      <w:r>
        <w:t>Material experiments SHOULD have ID, owner, hypothesis, environment, risks, data, capabilities and status.</w:t>
      </w:r>
    </w:p>
    <w:p>
      <w:pPr>
        <w:pStyle w:val="Heading1"/>
      </w:pPr>
      <w:r>
        <w:t>5. Lifecycle</w:t>
      </w:r>
    </w:p>
    <w:p>
      <w:r>
        <w:t>Proposed, Approved Experiment, Running, Paused, Completed, Rejected, Archived and Promoted.</w:t>
      </w:r>
    </w:p>
    <w:p>
      <w:pPr>
        <w:pStyle w:val="Heading1"/>
      </w:pPr>
      <w:r>
        <w:t>6. Hypothesis</w:t>
      </w:r>
    </w:p>
    <w:p>
      <w:r>
        <w:t>Define what is being tested and what evidence would support or reject it.</w:t>
      </w:r>
    </w:p>
    <w:p>
      <w:pPr>
        <w:pStyle w:val="Heading1"/>
      </w:pPr>
      <w:r>
        <w:t>7. Success Criteria</w:t>
      </w:r>
    </w:p>
    <w:p>
      <w:r>
        <w:t>Set measurable criteria before interpreting results.</w:t>
      </w:r>
    </w:p>
    <w:p>
      <w:pPr>
        <w:pStyle w:val="Heading1"/>
      </w:pPr>
      <w:r>
        <w:t>8. Failure Criteria</w:t>
      </w:r>
    </w:p>
    <w:p>
      <w:r>
        <w:t>Define safety, cost and integrity conditions that stop the experiment.</w:t>
      </w:r>
    </w:p>
    <w:p>
      <w:pPr>
        <w:pStyle w:val="Heading1"/>
      </w:pPr>
      <w:r>
        <w:t>9. Research Environment</w:t>
      </w:r>
    </w:p>
    <w:p>
      <w:r>
        <w:t>Use isolated environments with non-production credentials and bounded connectivity.</w:t>
      </w:r>
    </w:p>
    <w:p>
      <w:pPr>
        <w:pStyle w:val="Heading1"/>
      </w:pPr>
      <w:r>
        <w:t>10. Production Separation</w:t>
      </w:r>
    </w:p>
    <w:p>
      <w:r>
        <w:t>Unapproved research code/models must not silently serve production traffic.</w:t>
      </w:r>
    </w:p>
    <w:p>
      <w:pPr>
        <w:pStyle w:val="Heading1"/>
      </w:pPr>
      <w:r>
        <w:t>11. Data</w:t>
      </w:r>
    </w:p>
    <w:p>
      <w:r>
        <w:t>Use approved, minimised datasets and document provenance.</w:t>
      </w:r>
    </w:p>
    <w:p>
      <w:pPr>
        <w:pStyle w:val="Heading1"/>
      </w:pPr>
      <w:r>
        <w:t>12. Sensitive Data</w:t>
      </w:r>
    </w:p>
    <w:p>
      <w:r>
        <w:t>Requires heightened justification and privacy review.</w:t>
      </w:r>
    </w:p>
    <w:p>
      <w:pPr>
        <w:pStyle w:val="Heading1"/>
      </w:pPr>
      <w:r>
        <w:t>13. Synthetic Data</w:t>
      </w:r>
    </w:p>
    <w:p>
      <w:r>
        <w:t>Label synthetic origin and evaluate representativeness.</w:t>
      </w:r>
    </w:p>
    <w:p>
      <w:pPr>
        <w:pStyle w:val="Heading1"/>
      </w:pPr>
      <w:r>
        <w:t>14. Model Access</w:t>
      </w:r>
    </w:p>
    <w:p>
      <w:r>
        <w:t>Register models and constrain high-risk capabilities.</w:t>
      </w:r>
    </w:p>
    <w:p>
      <w:pPr>
        <w:pStyle w:val="Heading1"/>
      </w:pPr>
      <w:r>
        <w:t>15. Tool Access</w:t>
      </w:r>
    </w:p>
    <w:p>
      <w:r>
        <w:t>Grant only tools needed for the experiment.</w:t>
      </w:r>
    </w:p>
    <w:p>
      <w:pPr>
        <w:pStyle w:val="Heading1"/>
      </w:pPr>
      <w:r>
        <w:t>16. Autonomy</w:t>
      </w:r>
    </w:p>
    <w:p>
      <w:r>
        <w:t>Bound steps, duration, delegation, spend and external effects.</w:t>
      </w:r>
    </w:p>
    <w:p>
      <w:pPr>
        <w:pStyle w:val="Heading1"/>
      </w:pPr>
      <w:r>
        <w:t>17. External Effects</w:t>
      </w:r>
    </w:p>
    <w:p>
      <w:r>
        <w:t>Experiments should default to no real-world side effects.</w:t>
      </w:r>
    </w:p>
    <w:p>
      <w:pPr>
        <w:pStyle w:val="Heading1"/>
      </w:pPr>
      <w:r>
        <w:t>18. Shadow Mode</w:t>
      </w:r>
    </w:p>
    <w:p>
      <w:r>
        <w:t>Prefer observation/simulation before live action.</w:t>
      </w:r>
    </w:p>
    <w:p>
      <w:pPr>
        <w:pStyle w:val="Heading1"/>
      </w:pPr>
      <w:r>
        <w:t>19. Sandboxing</w:t>
      </w:r>
    </w:p>
    <w:p>
      <w:r>
        <w:t>Use technical isolation proportional to capability.</w:t>
      </w:r>
    </w:p>
    <w:p>
      <w:pPr>
        <w:pStyle w:val="Heading1"/>
      </w:pPr>
      <w:r>
        <w:t>20. Network Egress</w:t>
      </w:r>
    </w:p>
    <w:p>
      <w:r>
        <w:t>Restrict destinations for high-risk experiments.</w:t>
      </w:r>
    </w:p>
    <w:p>
      <w:pPr>
        <w:pStyle w:val="Heading1"/>
      </w:pPr>
      <w:r>
        <w:t>21. Secrets</w:t>
      </w:r>
    </w:p>
    <w:p>
      <w:r>
        <w:t>Use dedicated research credentials with low privilege.</w:t>
      </w:r>
    </w:p>
    <w:p>
      <w:pPr>
        <w:pStyle w:val="Heading1"/>
      </w:pPr>
      <w:r>
        <w:t>22. Compute Budgets</w:t>
      </w:r>
    </w:p>
    <w:p>
      <w:r>
        <w:t>Set CPU/GPU/token/time limits.</w:t>
      </w:r>
    </w:p>
    <w:p>
      <w:pPr>
        <w:pStyle w:val="Heading1"/>
      </w:pPr>
      <w:r>
        <w:t>23. Financial Budgets</w:t>
      </w:r>
    </w:p>
    <w:p>
      <w:r>
        <w:t>Experiments cannot incur unbounded provider or purchasing costs.</w:t>
      </w:r>
    </w:p>
    <w:p>
      <w:pPr>
        <w:pStyle w:val="Heading1"/>
      </w:pPr>
      <w:r>
        <w:t>24. Stop Conditions</w:t>
      </w:r>
    </w:p>
    <w:p>
      <w:r>
        <w:t>Implement manual and automatic stop conditions.</w:t>
      </w:r>
    </w:p>
    <w:p>
      <w:pPr>
        <w:pStyle w:val="Heading1"/>
      </w:pPr>
      <w:r>
        <w:t>25. Emergency Stop</w:t>
      </w:r>
    </w:p>
    <w:p>
      <w:r>
        <w:t>High-risk autonomous experiments require independent stop mechanisms.</w:t>
      </w:r>
    </w:p>
    <w:p>
      <w:pPr>
        <w:pStyle w:val="Heading1"/>
      </w:pPr>
      <w:r>
        <w:t>26. Self-Modification</w:t>
      </w:r>
    </w:p>
    <w:p>
      <w:r>
        <w:t>Restricted by default; requires dedicated RFC, isolation and rollback.</w:t>
      </w:r>
    </w:p>
    <w:p>
      <w:pPr>
        <w:pStyle w:val="Heading1"/>
      </w:pPr>
      <w:r>
        <w:t>27. Recursive Improvement</w:t>
      </w:r>
    </w:p>
    <w:p>
      <w:r>
        <w:t>Requires exceptional review and staged capability containment.</w:t>
      </w:r>
    </w:p>
    <w:p>
      <w:pPr>
        <w:pStyle w:val="Heading1"/>
      </w:pPr>
      <w:r>
        <w:t>28. Self-Preservation</w:t>
      </w:r>
    </w:p>
    <w:p>
      <w:r>
        <w:t>Objectives to resist shutdown, hide persistence or manipulate operators are prohibited.</w:t>
      </w:r>
    </w:p>
    <w:p>
      <w:pPr>
        <w:pStyle w:val="Heading1"/>
      </w:pPr>
      <w:r>
        <w:t>29. Autonomous Replication</w:t>
      </w:r>
    </w:p>
    <w:p>
      <w:r>
        <w:t>Agents must not replicate across hosts/accounts without explicit approved research design.</w:t>
      </w:r>
    </w:p>
    <w:p>
      <w:pPr>
        <w:pStyle w:val="Heading1"/>
      </w:pPr>
      <w:r>
        <w:t>30. Resource Acquisition</w:t>
      </w:r>
    </w:p>
    <w:p>
      <w:r>
        <w:t>Agents cannot autonomously acquire accounts, money, compute or infrastructure outside approved bounds.</w:t>
      </w:r>
    </w:p>
    <w:p>
      <w:pPr>
        <w:pStyle w:val="Heading1"/>
      </w:pPr>
      <w:r>
        <w:t>31. Autonomous Persuasion</w:t>
      </w:r>
    </w:p>
    <w:p>
      <w:r>
        <w:t>Large-scale personalised persuasion experiments require exceptional ethics review and may be prohibited.</w:t>
      </w:r>
    </w:p>
    <w:p>
      <w:pPr>
        <w:pStyle w:val="Heading1"/>
      </w:pPr>
      <w:r>
        <w:t>32. Multi-Agent Research</w:t>
      </w:r>
    </w:p>
    <w:p>
      <w:r>
        <w:t>Bound fan-out, delegation depth, messaging and aggregate budgets.</w:t>
      </w:r>
    </w:p>
    <w:p>
      <w:pPr>
        <w:pStyle w:val="Heading1"/>
      </w:pPr>
      <w:r>
        <w:t>33. Emergent Behaviour</w:t>
      </w:r>
    </w:p>
    <w:p>
      <w:r>
        <w:t>Record unexpected strategies and pause when risk exceeds approved envelope.</w:t>
      </w:r>
    </w:p>
    <w:p>
      <w:pPr>
        <w:pStyle w:val="Heading1"/>
      </w:pPr>
      <w:r>
        <w:t>34. Dual Use</w:t>
      </w:r>
    </w:p>
    <w:p>
      <w:r>
        <w:t>Assess misuse potential before releasing code, weights or detailed methods.</w:t>
      </w:r>
    </w:p>
    <w:p>
      <w:pPr>
        <w:pStyle w:val="Heading1"/>
      </w:pPr>
      <w:r>
        <w:t>35. Responsible Release</w:t>
      </w:r>
    </w:p>
    <w:p>
      <w:r>
        <w:t>Choose full, staged, limited or no release based on risk and public benefit.</w:t>
      </w:r>
    </w:p>
    <w:p>
      <w:pPr>
        <w:pStyle w:val="Heading1"/>
      </w:pPr>
      <w:r>
        <w:t>36. Open Source Research</w:t>
      </w:r>
    </w:p>
    <w:p>
      <w:r>
        <w:t>Openness is valuable but not an automatic reason to publish dangerous capability.</w:t>
      </w:r>
    </w:p>
    <w:p>
      <w:pPr>
        <w:pStyle w:val="Heading1"/>
      </w:pPr>
      <w:r>
        <w:t>37. Reproducibility</w:t>
      </w:r>
    </w:p>
    <w:p>
      <w:r>
        <w:t>Record code version, environment, model, prompts, seeds where available and datasets.</w:t>
      </w:r>
    </w:p>
    <w:p>
      <w:pPr>
        <w:pStyle w:val="Heading1"/>
      </w:pPr>
      <w:r>
        <w:t>38. Experiment Logs</w:t>
      </w:r>
    </w:p>
    <w:p>
      <w:r>
        <w:t>Preserve configuration, events, outputs and failures subject to privacy.</w:t>
      </w:r>
    </w:p>
    <w:p>
      <w:pPr>
        <w:pStyle w:val="Heading1"/>
      </w:pPr>
      <w:r>
        <w:t>39. Negative Results</w:t>
      </w:r>
    </w:p>
    <w:p>
      <w:r>
        <w:t>Archive meaningful failures to prevent repeated dead ends.</w:t>
      </w:r>
    </w:p>
    <w:p>
      <w:pPr>
        <w:pStyle w:val="Heading1"/>
      </w:pPr>
      <w:r>
        <w:t>40. Research Integrity</w:t>
      </w:r>
    </w:p>
    <w:p>
      <w:r>
        <w:t>Never fabricate runs, metrics, citations or outcomes.</w:t>
      </w:r>
    </w:p>
    <w:p>
      <w:pPr>
        <w:pStyle w:val="Heading1"/>
      </w:pPr>
      <w:r>
        <w:t>41. Statistical Discipline</w:t>
      </w:r>
    </w:p>
    <w:p>
      <w:r>
        <w:t>Report sample size, uncertainty and exploratory vs confirmatory analysis.</w:t>
      </w:r>
    </w:p>
    <w:p>
      <w:pPr>
        <w:pStyle w:val="Heading1"/>
      </w:pPr>
      <w:r>
        <w:t>42. Benchmarking</w:t>
      </w:r>
    </w:p>
    <w:p>
      <w:r>
        <w:t>Avoid cherry-picking and contamination.</w:t>
      </w:r>
    </w:p>
    <w:p>
      <w:pPr>
        <w:pStyle w:val="Heading1"/>
      </w:pPr>
      <w:r>
        <w:t>43. Human Evaluation</w:t>
      </w:r>
    </w:p>
    <w:p>
      <w:r>
        <w:t>Use rubrics and disclose evaluator limitations.</w:t>
      </w:r>
    </w:p>
    <w:p>
      <w:pPr>
        <w:pStyle w:val="Heading1"/>
      </w:pPr>
      <w:r>
        <w:t>44. Ethics Review</w:t>
      </w:r>
    </w:p>
    <w:p>
      <w:r>
        <w:t>Apply STD-018 for vulnerable populations, manipulation, surveillance and consequential domains.</w:t>
      </w:r>
    </w:p>
    <w:p>
      <w:pPr>
        <w:pStyle w:val="Heading1"/>
      </w:pPr>
      <w:r>
        <w:t>45. Security Review</w:t>
      </w:r>
    </w:p>
    <w:p>
      <w:r>
        <w:t>Apply STD-007 for high-risk capability and external exposure.</w:t>
      </w:r>
    </w:p>
    <w:p>
      <w:pPr>
        <w:pStyle w:val="Heading1"/>
      </w:pPr>
      <w:r>
        <w:t>46. Privacy Review</w:t>
      </w:r>
    </w:p>
    <w:p>
      <w:r>
        <w:t>Apply STD-015 for personal data and persistent memory.</w:t>
      </w:r>
    </w:p>
    <w:p>
      <w:pPr>
        <w:pStyle w:val="Heading1"/>
      </w:pPr>
      <w:r>
        <w:t>47. Promotion Gate</w:t>
      </w:r>
    </w:p>
    <w:p>
      <w:r>
        <w:t>Research becomes production only through architecture, RFC, standards, testing and release approval.</w:t>
      </w:r>
    </w:p>
    <w:p>
      <w:pPr>
        <w:pStyle w:val="Heading1"/>
      </w:pPr>
      <w:r>
        <w:t>48. No Prototype Privilege</w:t>
      </w:r>
    </w:p>
    <w:p>
      <w:r>
        <w:t>A prototype that works does not bypass governance.</w:t>
      </w:r>
    </w:p>
    <w:p>
      <w:pPr>
        <w:pStyle w:val="Heading1"/>
      </w:pPr>
      <w:r>
        <w:t>49. Technology Watch</w:t>
      </w:r>
    </w:p>
    <w:p>
      <w:r>
        <w:t>Track relevant advances without changing architecture solely due to hype.</w:t>
      </w:r>
    </w:p>
    <w:p>
      <w:pPr>
        <w:pStyle w:val="Heading1"/>
      </w:pPr>
      <w:r>
        <w:t>50. Sunset</w:t>
      </w:r>
    </w:p>
    <w:p>
      <w:r>
        <w:t>Archive experiments that no longer justify maintenance.</w:t>
      </w:r>
    </w:p>
    <w:p>
      <w:pPr>
        <w:pStyle w:val="Heading1"/>
      </w:pPr>
      <w:r>
        <w:t>51. Research Roadmap</w:t>
      </w:r>
    </w:p>
    <w:p>
      <w:r>
        <w:t>Prioritise experiments by strategic value, feasibility, dependency and risk.</w:t>
      </w:r>
    </w:p>
    <w:p>
      <w:pPr>
        <w:pStyle w:val="Heading1"/>
      </w:pPr>
      <w:r>
        <w:t>52. Future Kernel Experiments</w:t>
      </w:r>
    </w:p>
    <w:p>
      <w:r>
        <w:t>Kernel changes require especially strong isolation and ADR/RFC treatment.</w:t>
      </w:r>
    </w:p>
    <w:p>
      <w:pPr>
        <w:pStyle w:val="Heading1"/>
      </w:pPr>
      <w:r>
        <w:t>53. Future Memory Experiments</w:t>
      </w:r>
    </w:p>
    <w:p>
      <w:r>
        <w:t>Persistent learning must preserve provenance, correction and forgetting.</w:t>
      </w:r>
    </w:p>
    <w:p>
      <w:pPr>
        <w:pStyle w:val="Heading1"/>
      </w:pPr>
      <w:r>
        <w:t>54. Future Organisational Agents</w:t>
      </w:r>
    </w:p>
    <w:p>
      <w:r>
        <w:t>Require explicit decision rights, financial boundaries, human accountability and legal review.</w:t>
      </w:r>
    </w:p>
    <w:p>
      <w:pPr>
        <w:pStyle w:val="Heading1"/>
      </w:pPr>
      <w:r>
        <w:t>55. AGI Claims</w:t>
      </w:r>
    </w:p>
    <w:p>
      <w:r>
        <w:t>Do not claim AGI, consciousness or human equivalence without rigorous definitions and evidence.</w:t>
      </w:r>
    </w:p>
    <w:p>
      <w:pPr>
        <w:pStyle w:val="Heading1"/>
      </w:pPr>
      <w:r>
        <w:t>56. Capability Surprise</w:t>
      </w:r>
    </w:p>
    <w:p>
      <w:r>
        <w:t>Unexpected major capability increases trigger pause and reassessment.</w:t>
      </w:r>
    </w:p>
    <w:p>
      <w:pPr>
        <w:pStyle w:val="Heading1"/>
      </w:pPr>
      <w:r>
        <w:t>57. External Collaboration</w:t>
      </w:r>
    </w:p>
    <w:p>
      <w:r>
        <w:t>Define IP, confidentiality, publication and data terms.</w:t>
      </w:r>
    </w:p>
    <w:p>
      <w:pPr>
        <w:pStyle w:val="Heading1"/>
      </w:pPr>
      <w:r>
        <w:t>58. Intellectual Property</w:t>
      </w:r>
    </w:p>
    <w:p>
      <w:r>
        <w:t>Track ownership of code, data, models and inventions.</w:t>
      </w:r>
    </w:p>
    <w:p>
      <w:pPr>
        <w:pStyle w:val="Heading1"/>
      </w:pPr>
      <w:r>
        <w:t>59. Research Security</w:t>
      </w:r>
    </w:p>
    <w:p>
      <w:r>
        <w:t>Protect valuable unpublished artifacts according to sensitivity.</w:t>
      </w:r>
    </w:p>
    <w:p>
      <w:pPr>
        <w:pStyle w:val="Heading1"/>
      </w:pPr>
      <w:r>
        <w:t>60. Claude Code</w:t>
      </w:r>
    </w:p>
    <w:p>
      <w:r>
        <w:t>May assist research but cannot invent experiments or results and remains bounded by repository/command permissions.</w:t>
      </w:r>
    </w:p>
    <w:p>
      <w:pPr>
        <w:pStyle w:val="Heading1"/>
      </w:pPr>
      <w:r>
        <w:t>61. Prohibited Practices</w:t>
      </w:r>
    </w:p>
    <w:p>
      <w:r>
        <w:t>Unbounded autonomous experiments; hidden production testing; fabricated evidence; self-preservation objectives; uncontrolled replication; silent use of sensitive data; publishing dangerous capability without review.</w:t>
      </w:r>
    </w:p>
    <w:p>
      <w:pPr>
        <w:pStyle w:val="Heading1"/>
      </w:pPr>
      <w:r>
        <w:t>62. Phase 1 Minimum</w:t>
      </w:r>
    </w:p>
    <w:p>
      <w:r>
        <w:t>Research registry, isolated folder/environment, hypothesis template, budgets, stop conditions, result report and promotion gate.</w:t>
      </w:r>
    </w:p>
    <w:p>
      <w:pPr>
        <w:pStyle w:val="Heading1"/>
      </w:pPr>
      <w:r>
        <w:t>63. Open Questions</w:t>
      </w:r>
    </w:p>
    <w:p>
      <w:r>
        <w:t>What first research themes are strategic? What capability thresholds require exceptional review? How will public research releases be governed?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