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08A16D" w14:textId="77777777" w:rsidR="00D305C0" w:rsidRPr="00ED10FF" w:rsidRDefault="00D305C0" w:rsidP="00605CFF">
      <w:pPr>
        <w:pStyle w:val="Heading1"/>
        <w:rPr>
          <w:sz w:val="64"/>
          <w:szCs w:val="64"/>
        </w:rPr>
      </w:pPr>
      <w:r w:rsidRPr="00ED10FF">
        <w:rPr>
          <w:sz w:val="64"/>
          <w:szCs w:val="64"/>
        </w:rPr>
        <w:t>The Impact of Trade Union Dynamics on Income Inequality Trends in European Union Countries</w:t>
      </w:r>
    </w:p>
    <w:p w14:paraId="2FF39FC5" w14:textId="77777777" w:rsidR="00190178" w:rsidRPr="00190178" w:rsidRDefault="00190178" w:rsidP="00605CFF">
      <w:pPr>
        <w:rPr>
          <w:lang w:eastAsia="en-US"/>
        </w:rPr>
      </w:pPr>
    </w:p>
    <w:p w14:paraId="602E3C7F" w14:textId="3B419BF4" w:rsidR="00BC3DC1" w:rsidRDefault="00BC3DC1" w:rsidP="00ED10FF">
      <w:pPr>
        <w:pStyle w:val="Heading1"/>
      </w:pPr>
      <w:r>
        <w:t>Introduction</w:t>
      </w:r>
    </w:p>
    <w:p w14:paraId="7CD7E036" w14:textId="77777777" w:rsidR="00F300BA" w:rsidRDefault="00F300BA" w:rsidP="00605CFF">
      <w:r>
        <w:t>The ever-shifting landscape of the global economy has placed a spotlight on the intricate connection between labor practices and the growing issue of economic inequality</w:t>
      </w:r>
      <w:r w:rsidRPr="008D3A76">
        <w:t xml:space="preserve"> </w:t>
      </w:r>
      <w:r w:rsidR="008D3A76" w:rsidRPr="008D3A76">
        <w:t xml:space="preserve">(ILO, n.d.). </w:t>
      </w:r>
      <w:r>
        <w:t>Within the multifaceted mechanisms influencing labor market dynamics, collective bargaining emerges as a crucial tool for shaping fair employment conditions and equitable wage distribution</w:t>
      </w:r>
      <w:r w:rsidRPr="008D3A76">
        <w:t xml:space="preserve"> </w:t>
      </w:r>
      <w:r w:rsidR="008D3A76" w:rsidRPr="008D3A76">
        <w:t xml:space="preserve">(ILO, n.d.). </w:t>
      </w:r>
    </w:p>
    <w:p w14:paraId="571907AE" w14:textId="77777777" w:rsidR="00F300BA" w:rsidRDefault="00F300BA" w:rsidP="00605CFF"/>
    <w:p w14:paraId="7CA638D7" w14:textId="0A454334" w:rsidR="0052667B" w:rsidRDefault="00F300BA" w:rsidP="00605CFF">
      <w:r>
        <w:t>Collective bargaining, a well-established process of negotiation between employers and organized worker representatives, fosters agreements that regulate working conditions, salaries, benefits, and other aspects of worker compensation and rights. It has been championed as a potential equalizer within the labor market. The theory proposes that by empowering workers to negotiate collectively, they can achieve a more just distribution of income, enhance job security, and improve working conditions. This, in turn, could potentially address some of the root causes of economic inequality</w:t>
      </w:r>
      <w:r w:rsidR="008D3A76">
        <w:t xml:space="preserve"> (Schmidt and Strauss 1976).</w:t>
      </w:r>
      <w:r w:rsidR="003D7EE3">
        <w:t xml:space="preserve"> However, the effectiveness and impact of collective bargaining are contingent upon various factors including the legal and regulatory framework, the strength and representativeness of labour unions, the economic context, and the adaptability of these institutions to changing labour market conditions.</w:t>
      </w:r>
      <w:r w:rsidR="002B4739">
        <w:t xml:space="preserve"> </w:t>
      </w:r>
    </w:p>
    <w:p w14:paraId="2B2D936D" w14:textId="73BE053D" w:rsidR="002B4739" w:rsidRDefault="002B4739" w:rsidP="00605CFF">
      <w:r>
        <w:t>This analysis delves deeper into the complex relationship between collective bargaining and economic inequality. We will explore the theoretical underpinnings of collective bargaining as an equalizer and examine the empirical evidence regarding its effectiveness. We will also consider the various factors that influence the success of collective bargaining efforts and their ultimate impact on reducing economic inequality.</w:t>
      </w:r>
    </w:p>
    <w:p w14:paraId="71A7600A" w14:textId="77777777" w:rsidR="008D3A76" w:rsidRDefault="008D3A76" w:rsidP="00605CFF"/>
    <w:p w14:paraId="02F2E1DD" w14:textId="77777777" w:rsidR="00605CFF" w:rsidRDefault="00605CFF" w:rsidP="00605CFF"/>
    <w:p w14:paraId="4A118494" w14:textId="77777777" w:rsidR="00605CFF" w:rsidRDefault="00605CFF" w:rsidP="00605CFF"/>
    <w:p w14:paraId="3E528181" w14:textId="77777777" w:rsidR="00605CFF" w:rsidRDefault="00605CFF" w:rsidP="00605CFF"/>
    <w:p w14:paraId="52B0F592" w14:textId="77777777" w:rsidR="00605CFF" w:rsidRDefault="00605CFF" w:rsidP="00605CFF"/>
    <w:p w14:paraId="7E6413F0" w14:textId="77777777" w:rsidR="00605CFF" w:rsidRDefault="00605CFF" w:rsidP="00605CFF"/>
    <w:p w14:paraId="0A690841" w14:textId="77777777" w:rsidR="00605CFF" w:rsidRDefault="00605CFF" w:rsidP="00605CFF"/>
    <w:p w14:paraId="75F23DCF" w14:textId="77777777" w:rsidR="00605CFF" w:rsidRDefault="00605CFF" w:rsidP="00605CFF"/>
    <w:p w14:paraId="77DF397D" w14:textId="77777777" w:rsidR="00605CFF" w:rsidRDefault="00605CFF" w:rsidP="00605CFF"/>
    <w:p w14:paraId="1E5E61DB" w14:textId="77777777" w:rsidR="00605CFF" w:rsidRDefault="00605CFF" w:rsidP="00605CFF"/>
    <w:p w14:paraId="22BEB16A" w14:textId="77777777" w:rsidR="00605CFF" w:rsidRDefault="00605CFF" w:rsidP="00605CFF"/>
    <w:p w14:paraId="56825C65" w14:textId="77777777" w:rsidR="00605CFF" w:rsidRDefault="00605CFF" w:rsidP="00605CFF"/>
    <w:p w14:paraId="033C7603" w14:textId="2D7A286F" w:rsidR="008D3A76" w:rsidRDefault="008D3A76" w:rsidP="00605CFF">
      <w:pPr>
        <w:pStyle w:val="Heading1"/>
      </w:pPr>
      <w:r>
        <w:t>Methodology</w:t>
      </w:r>
    </w:p>
    <w:p w14:paraId="3DB302F7" w14:textId="77777777" w:rsidR="002B4739" w:rsidRPr="00605CFF" w:rsidRDefault="002B4739" w:rsidP="00605CFF">
      <w:r w:rsidRPr="00605CFF">
        <w:t>The intricate relationship between trade union coverage and income inequality demands a nuanced exploration that transcends mere statistical correlations. This study delves deeper, aiming to illuminate the underlying mechanisms, societal impacts, and policy implications of this dynamic. Recognizing the contingent nature of collective bargaining effectiveness, we acknowledge several factors influencing its success: the legal and regulatory framework, union strength and representativeness, economic context, and adaptability to the evolving labor market's challenges, such as the rise of the gig economy and automation.</w:t>
      </w:r>
    </w:p>
    <w:p w14:paraId="35B76D42" w14:textId="77777777" w:rsidR="00605CFF" w:rsidRDefault="002B4739" w:rsidP="00605CFF">
      <w:r w:rsidRPr="002B4739">
        <w:t xml:space="preserve">Drawing inspiration from the work of Card (1996) and Goesling (2009), this research employs a multi-faceted approach. We leverage empirical evidence from reputable sources like Eurostat and OECD databases, focusing on data related to trade union coverage (encompassing both density and coverage rate), income inequality metrics (like the Gini coefficient), and relevant control variables for EU countries over the past two decades. </w:t>
      </w:r>
    </w:p>
    <w:p w14:paraId="3DAEE375" w14:textId="7958D166" w:rsidR="00605CFF" w:rsidRDefault="00605CFF" w:rsidP="00605CFF">
      <w:r w:rsidRPr="008D3A76">
        <w:t>Focusing on Austria, Belgium, Czechia, Denmark, Estonia, Finland, France, Germany, Greece, Hungary, Iceland, Ireland, Italy, Latvia, Lithuania, Luxembourg, Netherlands, Norway, Poland, Portugal, Slovak Republic, Slovenia, Spain, Sweden, Switzerland, and the United Kingdom</w:t>
      </w:r>
    </w:p>
    <w:p w14:paraId="39E6F08B" w14:textId="77777777" w:rsidR="00605CFF" w:rsidRDefault="00605CFF" w:rsidP="00605CFF"/>
    <w:p w14:paraId="178594A6" w14:textId="58E73B9E" w:rsidR="002B4739" w:rsidRPr="002B4739" w:rsidRDefault="002B4739" w:rsidP="00605CFF">
      <w:r w:rsidRPr="002B4739">
        <w:t>This timeframe allows us to capture the potential impact of recent economic shifts, reforms, and the eastward expansion of the EU.</w:t>
      </w:r>
    </w:p>
    <w:p w14:paraId="2B8D21C0" w14:textId="3A8EE0DC" w:rsidR="002B4739" w:rsidRDefault="002B4739" w:rsidP="00605CFF">
      <w:r w:rsidRPr="002B4739">
        <w:t xml:space="preserve">Complementing this quantitative analysis, in-depth case studies will be conducted for a selection of EU countries exhibiting diverse levels of trade union coverage and density. These qualitative investigations will explore the specific mechanisms through which trade union activity shapes wage inequality within each chosen nation. </w:t>
      </w:r>
    </w:p>
    <w:p w14:paraId="4C4A6BF0" w14:textId="77777777" w:rsidR="002B4739" w:rsidRDefault="002B4739" w:rsidP="00605CFF"/>
    <w:p w14:paraId="34844382" w14:textId="4988642E" w:rsidR="002B4739" w:rsidRDefault="002B4739" w:rsidP="00605CFF">
      <w:r>
        <w:t xml:space="preserve">The selection criteria for case studies will focus on EU countries exhibiting diverse characteristics across four key dimensions. First, we will examine the legal frameworks of each country, assessing whether legal structures support and protect collective bargaining rights or conversely restrict union activity. Second, the strength and representativeness of unions will be evaluated. This includes analyzing how well-organized unions are and how effectively they represent the interests of a broad range of workers, particularly those in precarious or non-standard employment arrangements. Third, the economic structure of each chosen country will be considered. This involves investigating whether the sectoral composition favors industries traditionally associated with strong unions, like manufacturing, or those with lower unionization rates, such as the service sector. Finally, the historical trajectory of unionization </w:t>
      </w:r>
      <w:r>
        <w:lastRenderedPageBreak/>
        <w:t>in each country will be explored. This analysis will examine how past trends in unionization have shaped the current landscape of labor relations and income inequality. By considering these varied characteristics, the case studies will provide a nuanced understanding of the relationship between trade union coverage and income inequality within the EU.</w:t>
      </w:r>
    </w:p>
    <w:p w14:paraId="6512072C" w14:textId="77777777" w:rsidR="002B4739" w:rsidRPr="002B4739" w:rsidRDefault="002B4739" w:rsidP="00605CFF"/>
    <w:p w14:paraId="60548FB3" w14:textId="77777777" w:rsidR="002B4739" w:rsidRPr="002B4739" w:rsidRDefault="002B4739" w:rsidP="00605CFF">
      <w:r w:rsidRPr="002B4739">
        <w:t>Finally, to illuminate the causal pathways between trade union coverage and inequality, we will utilize established theoretical frameworks from labor economics and inequality studies. This may include exploring theories of wage bargaining, monopsony power (where a single employer dominates a labor market), and rent-seeking behavior (where unions extract economic benefits for their members at the expense of others).</w:t>
      </w:r>
    </w:p>
    <w:p w14:paraId="2719B4C6" w14:textId="77777777" w:rsidR="002B4739" w:rsidRPr="002B4739" w:rsidRDefault="002B4739" w:rsidP="00605CFF">
      <w:r w:rsidRPr="002B4739">
        <w:t>This comprehensive approach goes beyond establishing correlations. By combining empirical evidence, case studies, and theoretical frameworks, this research aims to provide a robust analysis of the relationship between trade union coverage and income inequality within the EU. Ultimately, this project seeks to offer valuable insights for policymakers and stakeholders navigating the contemporary economic landscape. It can inform potential policies that leverage trade union coverage as a tool for addressing income inequality, while also acknowledging the challenges and opportunities presented by the evolving labor market's complexities.</w:t>
      </w:r>
    </w:p>
    <w:p w14:paraId="1E316EC5" w14:textId="77777777" w:rsidR="002B4739" w:rsidRDefault="002B4739" w:rsidP="00605CFF"/>
    <w:p w14:paraId="6FC0403E" w14:textId="7E2294BE" w:rsidR="00426B33" w:rsidRDefault="00426B33" w:rsidP="00605CFF"/>
    <w:p w14:paraId="1200C92F" w14:textId="5F1B350C" w:rsidR="00D620F3" w:rsidRDefault="00CF20AB" w:rsidP="00ED10FF">
      <w:pPr>
        <w:pStyle w:val="Heading1"/>
        <w:rPr>
          <w:lang w:eastAsia="en-GB"/>
        </w:rPr>
      </w:pPr>
      <w:r w:rsidRPr="00CF20AB">
        <w:rPr>
          <w:rFonts w:ascii="Arial" w:eastAsia="Times New Roman" w:hAnsi="Arial" w:cs="Arial"/>
          <w:vanish/>
          <w:sz w:val="16"/>
          <w:szCs w:val="16"/>
          <w:lang w:eastAsia="en-GB"/>
        </w:rPr>
        <w:t>Top of Form</w:t>
      </w:r>
      <w:r w:rsidRPr="00CF20AB">
        <w:rPr>
          <w:rFonts w:ascii="Arial" w:eastAsia="Times New Roman" w:hAnsi="Arial" w:cs="Arial"/>
          <w:vanish/>
          <w:kern w:val="0"/>
          <w:sz w:val="16"/>
          <w:szCs w:val="16"/>
          <w:lang w:eastAsia="en-GB"/>
          <w14:ligatures w14:val="none"/>
        </w:rPr>
        <w:t>Bottom of Form</w:t>
      </w:r>
      <w:r w:rsidR="00D620F3">
        <w:t>The Importance of Trade Unions and Collective Bargaining</w:t>
      </w:r>
    </w:p>
    <w:p w14:paraId="4332B829" w14:textId="03A0D9F8" w:rsidR="00D620F3" w:rsidRDefault="00D620F3" w:rsidP="00605CFF">
      <w:r>
        <w:t>Trade unions have historically been cornerstones of the workforce, advocating for workers' rights and ensuring fair treatment in the workplace</w:t>
      </w:r>
      <w:r w:rsidR="008704E2">
        <w:t xml:space="preserve"> </w:t>
      </w:r>
      <w:r w:rsidR="008704E2">
        <w:fldChar w:fldCharType="begin"/>
      </w:r>
      <w:r w:rsidR="008704E2">
        <w:instrText xml:space="preserve"> ADDIN ZOTERO_ITEM CSL_CITATION {"citationID":"B39Z2p3P","properties":{"formattedCitation":"(Engeman 2021)","plainCitation":"(Engeman 2021)","noteIndex":0},"citationItems":[{"id":165,"uris":["http://zotero.org/users/11278442/items/84NUWIQA"],"itemData":{"id":165,"type":"article-journal","abstract":"Abstract\n            Trade union institutions are historically and comparatively weak in the United States, and union membership has been in steady decline over several decades. Scholars thus question the contemporary relevance of organized labor to social policy. Yet, there is considerable state-level variation in social policy and union institutional strength that remains underexamined. Focusing on variability across US states, this paper uses mixed-methods analysis to examine relationships between organized labor and parental and family leave legislation under varying political conditions. Event history analysis of state-level leave policy adoption from 1983 to 2016 shows that union institutional strength, particularly in the public sector, is positively associated with the timing of leave policy adoption. These findings are robust to the inclusion of other factors, including Democratic control of state houses, which is also shown to facilitate leave policy adoption. Comparative case studies support event history findings and illustrate how state house partisanship informs the level of government that leave advocates target for policy change. The paper concludes by suggesting further attention to subnational policies and investigation into the social movement practice of target-shifting and its effects. Ultimately, the paper demonstrates the operation of power resources at the subnational level within a liberal market national context.","container-title":"Social Forces","DOI":"10.1093/sf/soaa074","ISSN":"0037-7732, 1534-7605","issue":"4","language":"en","page":"1745-1771","source":"Semantic Scholar","title":"When Do Unions Matter to Social Policy? Organized Labor and Leave Legislation in US States","title-short":"When Do Unions Matter to Social Policy?","volume":"99","author":[{"family":"Engeman","given":"Cassandra"}],"issued":{"date-parts":[["2021",4,5]]}}}],"schema":"https://github.com/citation-style-language/schema/raw/master/csl-citation.json"} </w:instrText>
      </w:r>
      <w:r w:rsidR="008704E2">
        <w:fldChar w:fldCharType="separate"/>
      </w:r>
      <w:r w:rsidR="008704E2">
        <w:rPr>
          <w:noProof/>
        </w:rPr>
        <w:t>(Engeman 2021)</w:t>
      </w:r>
      <w:r w:rsidR="008704E2">
        <w:fldChar w:fldCharType="end"/>
      </w:r>
      <w:r>
        <w:t>. At the heart of trade union efforts is collective bargaining, a process that not only brings numerous advantages to the table but also presents certain challenges. This chapter delves into the critical role of trade unions and the nuanced dynamics of collective bargaining, underscoring its profound impact on both the workforce and broader society.</w:t>
      </w:r>
    </w:p>
    <w:p w14:paraId="22D89689" w14:textId="39A65E74" w:rsidR="00D620F3" w:rsidRDefault="00D620F3" w:rsidP="00605CFF">
      <w:r>
        <w:t xml:space="preserve">Collective bargaining enhances compensation and support for union members significantly. Trade unions can achieve gains for workers that would be </w:t>
      </w:r>
      <w:r w:rsidR="008704E2">
        <w:t>difficult, or even impossible,</w:t>
      </w:r>
      <w:r>
        <w:t xml:space="preserve"> on an individual basis, often resulting in unionized workers enjoying wages that are substantially higher than their non-unionized counterparts. This is just the beginning, as collective agreements establish equitable workplace policies that promote justice and due process. Such frameworks benefit employees and employers alike, ensuring a fair and orderly work environment.</w:t>
      </w:r>
      <w:r w:rsidR="006210BE">
        <w:t xml:space="preserve"> </w:t>
      </w:r>
      <w:r w:rsidR="007C0842" w:rsidRPr="007C0842">
        <w:t>A connection is frequently made in the literature between the process of unionization and the subsequent increase in job satisfaction and productivity, highlighting these as significant advantages. Union members often report greater satisfaction in their roles, attributed to enhanced pay, benefits, and workplace protections</w:t>
      </w:r>
      <w:r w:rsidR="007C0842">
        <w:t xml:space="preserve"> </w:t>
      </w:r>
      <w:r w:rsidR="007C0842">
        <w:fldChar w:fldCharType="begin"/>
      </w:r>
      <w:r w:rsidR="00F669CF">
        <w:instrText xml:space="preserve"> ADDIN ZOTERO_ITEM CSL_CITATION {"citationID":"YbVjXjj0","properties":{"formattedCitation":"(Angell 1974)","plainCitation":"(Angell 1974)","dontUpdate":true,"noteIndex":0},"citationItems":[{"id":224,"uris":["http://zotero.org/users/11278442/items/3Y85DLTD"],"itemData":{"id":224,"type":"report","abstract":"This report reviews briefly some advantages and disadvantages of collective bargaining in higher education. Advantages discussed include: efficiency, equality of power, legal force, impasse resolution, communication, understanding the institution, resolution of individual problems, definition of policy, rights guarantee, faculty compensation, self-determination, administrative evaluation, younger faculty, minorities, institutional loyalty, educational policy, competitive power, consistency of service, strengthening collegiality, and increased executive authority. Some disadvantages include increased costs, loss of flexibility, inappropriateness of job actions, increased bureaucracy, unfavorable power shifts, increased adversary relationships, increased demands on faculty,  diminished university autonomy, resort to exaggeration and emotions, loss of student representation, standardized pay, funding problems, loss of some diversity, involuntary contributions, loss of traditional faculty rights, loss of self-determination, loss of self-governance, loss of full participation of faculty, and credibility. Some advantages and disadvantages are presented from both the union member's viewpoint as well as from the administrator's viewpoint where applicable. A 9-item bibliography is included. (MJM)","language":"en","note":"ERIC Number: ED097821","source":"ERIC","title":"Some Suggested Advantages and Disadvantages of Collective Bargaining","URL":"https://eric.ed.gov/?id=ED097821","author":[{"family":"George W. Angell","given":""}],"accessed":{"date-parts":[["2024",4,2]]},"issued":{"date-parts":[["1974",10,1]]}}}],"schema":"https://github.com/citation-style-language/schema/raw/master/csl-citation.json"} </w:instrText>
      </w:r>
      <w:r w:rsidR="007C0842">
        <w:fldChar w:fldCharType="separate"/>
      </w:r>
      <w:r w:rsidR="00A43213" w:rsidRPr="00B30794">
        <w:rPr>
          <w:lang w:val="en-GB"/>
        </w:rPr>
        <w:t>(Rafael Muñoz De Bustillo and Pablo De Pedraza, n.d.)</w:t>
      </w:r>
      <w:r w:rsidR="007C0842">
        <w:fldChar w:fldCharType="end"/>
      </w:r>
      <w:r w:rsidR="007C0842" w:rsidRPr="007C0842">
        <w:t>.</w:t>
      </w:r>
      <w:r w:rsidR="007C0842" w:rsidRPr="007C0842">
        <w:rPr>
          <w:rFonts w:ascii="Arial" w:hAnsi="Arial" w:cs="Arial"/>
          <w:vanish/>
          <w:sz w:val="16"/>
          <w:szCs w:val="16"/>
        </w:rPr>
        <w:t>Top of FormBottom of Form</w:t>
      </w:r>
      <w:r w:rsidR="007C0842">
        <w:t xml:space="preserve"> T</w:t>
      </w:r>
      <w:r>
        <w:t xml:space="preserve">his sense of security translates into higher productivity, reduced absenteeism, and lower turnover rates. Furthermore, collective bargaining plays a crucial role in promoting social justice by ensuring a more equitable distribution of economic gains. It helps </w:t>
      </w:r>
      <w:r>
        <w:lastRenderedPageBreak/>
        <w:t>reduce the wage gap between top executives and average workers, serving as a vital tool in the fight against economic inequality</w:t>
      </w:r>
      <w:r w:rsidR="00B30794">
        <w:t xml:space="preserve"> </w:t>
      </w:r>
      <w:r w:rsidR="00B30794">
        <w:fldChar w:fldCharType="begin"/>
      </w:r>
      <w:r w:rsidR="00B30794">
        <w:instrText xml:space="preserve"> ADDIN ZOTERO_ITEM CSL_CITATION {"citationID":"R9pYuw1n","properties":{"formattedCitation":"(George W. Angell 1974)","plainCitation":"(George W. Angell 1974)","noteIndex":0},"citationItems":[{"id":224,"uris":["http://zotero.org/users/11278442/items/3Y85DLTD"],"itemData":{"id":224,"type":"report","abstract":"This report reviews briefly some advantages and disadvantages of collective bargaining in higher education. Advantages discussed include: efficiency, equality of power, legal force, impasse resolution, communication, understanding the institution, resolution of individual problems, definition of policy, rights guarantee, faculty compensation, self-determination, administrative evaluation, younger faculty, minorities, institutional loyalty, educational policy, competitive power, consistency of service, strengthening collegiality, and increased executive authority. Some disadvantages include increased costs, loss of flexibility, inappropriateness of job actions, increased bureaucracy, unfavorable power shifts, increased adversary relationships, increased demands on faculty,  diminished university autonomy, resort to exaggeration and emotions, loss of student representation, standardized pay, funding problems, loss of some diversity, involuntary contributions, loss of traditional faculty rights, loss of self-determination, loss of self-governance, loss of full participation of faculty, and credibility. Some advantages and disadvantages are presented from both the union member's viewpoint as well as from the administrator's viewpoint where applicable. A 9-item bibliography is included. (MJM)","language":"en","note":"ERIC Number: ED097821","source":"ERIC","title":"Some Suggested Advantages and Disadvantages of Collective Bargaining","URL":"https://eric.ed.gov/?id=ED097821","author":[{"family":"George W. Angell","given":""}],"accessed":{"date-parts":[["2024",4,2]]},"issued":{"date-parts":[["1974",10,1]]}}}],"schema":"https://github.com/citation-style-language/schema/raw/master/csl-citation.json"} </w:instrText>
      </w:r>
      <w:r w:rsidR="00B30794">
        <w:fldChar w:fldCharType="separate"/>
      </w:r>
      <w:r w:rsidR="00B30794">
        <w:rPr>
          <w:noProof/>
        </w:rPr>
        <w:t>(George W. Angell 1974)</w:t>
      </w:r>
      <w:r w:rsidR="00B30794">
        <w:fldChar w:fldCharType="end"/>
      </w:r>
      <w:r>
        <w:t>.</w:t>
      </w:r>
      <w:r w:rsidR="006210BE">
        <w:t xml:space="preserve"> </w:t>
      </w:r>
      <w:r>
        <w:t>Moreover, union contracts often prioritize health and safety, leading to workplaces that are significantly safer for employees. This focus on safety results in lower rates of occupational injuries and fatalities. Empowerment of workers is another critical aspect, as trade unions give workers a collective voice, allowing them to influence decisions and policies that affect their working conditions. This empowerment fosters a more democratic and responsive workplace environment.</w:t>
      </w:r>
    </w:p>
    <w:p w14:paraId="1FE352BD" w14:textId="5A9347A9" w:rsidR="00190178" w:rsidRDefault="00D620F3" w:rsidP="00605CFF">
      <w:r>
        <w:t>The benefits of collective bargaining extend beyond the union members, offering stability during economic downturns and setting standards that raise the bar for non-union employers</w:t>
      </w:r>
      <w:r w:rsidR="00A43213">
        <w:t xml:space="preserve"> </w:t>
      </w:r>
      <w:r w:rsidR="00A43213">
        <w:fldChar w:fldCharType="begin"/>
      </w:r>
      <w:r w:rsidR="00A43213">
        <w:instrText xml:space="preserve"> ADDIN ZOTERO_ITEM CSL_CITATION {"citationID":"6ezcRge4","properties":{"formattedCitation":"(ILO 2015)","plainCitation":"(ILO 2015)","noteIndex":0},"citationItems":[{"id":215,"uris":["http://zotero.org/users/11278442/items/69LWSWT7"],"itemData":{"id":215,"type":"webpage","genre":"Document","language":"en","license":"Copyright and permissions © 1996-2024 International Labour Organization - https://www.ilo.org/global/copyright/lang--en/index.htm","title":"Joint effects of minimum wages and collective bargaining","URL":"https://www.ilo.org/global/topics/wages/minimum-wages/monitoring/WCMS_438883/lang--en/index.htm","author":[{"literal":"ILO"}],"accessed":{"date-parts":[["2024",4,2]]},"issued":{"date-parts":[["2015",12,3]]}}}],"schema":"https://github.com/citation-style-language/schema/raw/master/csl-citation.json"} </w:instrText>
      </w:r>
      <w:r w:rsidR="00A43213">
        <w:fldChar w:fldCharType="separate"/>
      </w:r>
      <w:r w:rsidR="00A43213">
        <w:rPr>
          <w:noProof/>
        </w:rPr>
        <w:t>(ILO 2015)</w:t>
      </w:r>
      <w:r w:rsidR="00A43213">
        <w:fldChar w:fldCharType="end"/>
      </w:r>
      <w:r>
        <w:t xml:space="preserve">. This leads to improved wages and benefits across the board and encourages a more diverse workforce, including higher participation rates among women and older workers. By redistributing income from capital </w:t>
      </w:r>
      <w:r w:rsidR="00082EAC">
        <w:t>to labour</w:t>
      </w:r>
      <w:r>
        <w:t>, collective bargaining contributes to a reduction in economic disparities, supporting a fairer and more equitable society.</w:t>
      </w:r>
      <w:r w:rsidR="006210BE">
        <w:t xml:space="preserve"> </w:t>
      </w:r>
      <w:r>
        <w:t xml:space="preserve">Efficient dispute resolution mechanisms within union contracts minimize the need for arbitration or litigation, while the potential for innovation and adaptability arises from the collaboration between unions and management. Raising standards across industries compels non-union firms to elevate </w:t>
      </w:r>
      <w:r w:rsidR="00082EAC">
        <w:t>their</w:t>
      </w:r>
      <w:r>
        <w:t xml:space="preserve"> practices to remain competitive, establishing a system of checks and balances that ensures corporate power is counterbalanced by a workforce with a voice in decisions impacting their livelihoods.</w:t>
      </w:r>
    </w:p>
    <w:p w14:paraId="1F52244F" w14:textId="77777777" w:rsidR="00190178" w:rsidRDefault="00190178" w:rsidP="00605CFF"/>
    <w:p w14:paraId="56164846" w14:textId="77777777" w:rsidR="00190178" w:rsidRDefault="00190178" w:rsidP="00605CFF"/>
    <w:p w14:paraId="1FBD0C7E" w14:textId="77777777" w:rsidR="00440632" w:rsidRDefault="00440632" w:rsidP="00605CFF"/>
    <w:p w14:paraId="1A8FCC8A" w14:textId="77777777" w:rsidR="00440632" w:rsidRDefault="00440632" w:rsidP="00605CFF"/>
    <w:p w14:paraId="26B432BD" w14:textId="77777777" w:rsidR="00440632" w:rsidRDefault="00440632" w:rsidP="00605CFF"/>
    <w:p w14:paraId="4BBDEF51" w14:textId="77777777" w:rsidR="00440632" w:rsidRDefault="00440632" w:rsidP="00605CFF"/>
    <w:p w14:paraId="2A32DF0D" w14:textId="77777777" w:rsidR="00440632" w:rsidRDefault="00440632" w:rsidP="00605CFF"/>
    <w:p w14:paraId="3095B90F" w14:textId="77777777" w:rsidR="00440632" w:rsidRDefault="00440632" w:rsidP="00605CFF"/>
    <w:p w14:paraId="6150D6DE" w14:textId="77777777" w:rsidR="00440632" w:rsidRDefault="00440632" w:rsidP="00605CFF"/>
    <w:p w14:paraId="14DE6CAB" w14:textId="77777777" w:rsidR="00440632" w:rsidRDefault="00440632" w:rsidP="00605CFF"/>
    <w:p w14:paraId="58A9053F" w14:textId="77777777" w:rsidR="00440632" w:rsidRDefault="00440632" w:rsidP="00605CFF"/>
    <w:p w14:paraId="651E9826" w14:textId="77777777" w:rsidR="00440632" w:rsidRDefault="00440632" w:rsidP="00605CFF"/>
    <w:p w14:paraId="18B53518" w14:textId="77777777" w:rsidR="00440632" w:rsidRDefault="00440632" w:rsidP="00605CFF"/>
    <w:p w14:paraId="15B23D33" w14:textId="77777777" w:rsidR="00440632" w:rsidRDefault="00440632" w:rsidP="00605CFF"/>
    <w:p w14:paraId="1B533FD4" w14:textId="77777777" w:rsidR="00440632" w:rsidRDefault="00440632" w:rsidP="00605CFF"/>
    <w:p w14:paraId="011EA99E" w14:textId="77777777" w:rsidR="00440632" w:rsidRDefault="00440632" w:rsidP="00605CFF"/>
    <w:p w14:paraId="7A939BFD" w14:textId="77777777" w:rsidR="00440632" w:rsidRDefault="00440632" w:rsidP="00605CFF"/>
    <w:p w14:paraId="69649AF3" w14:textId="77777777" w:rsidR="00440632" w:rsidRDefault="00440632" w:rsidP="00605CFF"/>
    <w:p w14:paraId="39B4F7F0" w14:textId="77777777" w:rsidR="00440632" w:rsidRDefault="00440632" w:rsidP="00605CFF"/>
    <w:p w14:paraId="6E578DAB" w14:textId="77777777" w:rsidR="00440632" w:rsidRDefault="00440632" w:rsidP="00605CFF"/>
    <w:p w14:paraId="2A3FB35A" w14:textId="77777777" w:rsidR="00440632" w:rsidRDefault="00440632" w:rsidP="00605CFF"/>
    <w:p w14:paraId="1B7ECF81" w14:textId="77777777" w:rsidR="00440632" w:rsidRDefault="00440632" w:rsidP="00605CFF"/>
    <w:p w14:paraId="622172CB" w14:textId="77777777" w:rsidR="00440632" w:rsidRDefault="00440632" w:rsidP="00605CFF"/>
    <w:p w14:paraId="0772BA3F" w14:textId="77777777" w:rsidR="00440632" w:rsidRDefault="00440632" w:rsidP="00605CFF"/>
    <w:p w14:paraId="5A999989" w14:textId="20555059" w:rsidR="00D620F3" w:rsidRDefault="00E23279" w:rsidP="00605CFF">
      <w:pPr>
        <w:pStyle w:val="Heading1"/>
      </w:pPr>
      <w:r w:rsidRPr="00671DC2">
        <w:rPr>
          <w:highlight w:val="yellow"/>
        </w:rPr>
        <w:lastRenderedPageBreak/>
        <w:t>Model building</w:t>
      </w:r>
    </w:p>
    <w:p w14:paraId="2F3B1B49" w14:textId="36BC46E8" w:rsidR="0004693C" w:rsidRDefault="008C1946" w:rsidP="00605CFF">
      <w:r w:rsidRPr="00FD747B">
        <w:t xml:space="preserve">This analysis is rooted in datasets </w:t>
      </w:r>
      <w:r w:rsidR="00314868">
        <w:t>obtained</w:t>
      </w:r>
      <w:r w:rsidRPr="00FD747B">
        <w:t xml:space="preserve"> from the Organisation for Economic Cooperation and Development (OECD) statistics and World Bank Data, targeting an array of variables pivotal to understanding the dynamics of l</w:t>
      </w:r>
      <w:r w:rsidR="00082EAC" w:rsidRPr="00FD747B">
        <w:t>abour m</w:t>
      </w:r>
      <w:r w:rsidRPr="00FD747B">
        <w:t>arkets and income</w:t>
      </w:r>
      <w:r>
        <w:t xml:space="preserve"> distribution</w:t>
      </w:r>
      <w:r w:rsidR="007A2728">
        <w:t xml:space="preserve"> </w:t>
      </w:r>
      <w:r w:rsidR="00643F01">
        <w:fldChar w:fldCharType="begin"/>
      </w:r>
      <w:r w:rsidR="00643F01">
        <w:instrText xml:space="preserve"> ADDIN ZOTERO_ITEM CSL_CITATION {"citationID":"xPU3B9Hn","properties":{"formattedCitation":"(Trapeznikova 2019)","plainCitation":"(Trapeznikova 2019)","noteIndex":0},"citationItems":[{"id":238,"uris":["http://zotero.org/users/11278442/items/LWBFRH5A"],"itemData":{"id":238,"type":"article-journal","abstract":"Summary measures of inequality differ from one another and give different pictures of the evolution of economic inequality over time","container-title":"IZA World of Labor","DOI":"10.15185/izawol.462","language":"en-US","source":"wol.iza.org","title":"Measuring income inequality","URL":"https://wol.iza.org/articles/measuring-income-inequality/long","author":[{"family":"Trapeznikova","given":"Ija"}],"accessed":{"date-parts":[["2024",4,2]]},"issued":{"date-parts":[["2019",7,17]]}}}],"schema":"https://github.com/citation-style-language/schema/raw/master/csl-citation.json"} </w:instrText>
      </w:r>
      <w:r w:rsidR="00643F01">
        <w:fldChar w:fldCharType="separate"/>
      </w:r>
      <w:r w:rsidR="00643F01">
        <w:rPr>
          <w:noProof/>
        </w:rPr>
        <w:t>(Trapeznikova 2019)</w:t>
      </w:r>
      <w:r w:rsidR="00643F01">
        <w:fldChar w:fldCharType="end"/>
      </w:r>
      <w:r>
        <w:t xml:space="preserve">. </w:t>
      </w:r>
      <w:r w:rsidR="007A2728">
        <w:t xml:space="preserve">In the first place, before jumping to the model’s results comparison, it is </w:t>
      </w:r>
      <w:r w:rsidR="00082EAC">
        <w:t>fundamental</w:t>
      </w:r>
      <w:r w:rsidR="007A2728">
        <w:t xml:space="preserve"> </w:t>
      </w:r>
      <w:r w:rsidR="00082EAC">
        <w:t xml:space="preserve">to </w:t>
      </w:r>
      <w:r w:rsidR="007A2728">
        <w:t xml:space="preserve">understand the </w:t>
      </w:r>
      <w:r w:rsidR="00082EAC">
        <w:t>variables'</w:t>
      </w:r>
      <w:r w:rsidR="007A2728">
        <w:t xml:space="preserve"> choices in </w:t>
      </w:r>
      <w:r w:rsidR="00082EAC">
        <w:t>building</w:t>
      </w:r>
      <w:r w:rsidR="007A2728">
        <w:t xml:space="preserve"> the models. </w:t>
      </w:r>
      <w:r w:rsidR="00082EAC">
        <w:t>To</w:t>
      </w:r>
      <w:r w:rsidR="007A2728">
        <w:t xml:space="preserve"> measure Income Inequality, economists have been using other metrics such </w:t>
      </w:r>
      <w:r w:rsidR="00082EAC">
        <w:t>as the</w:t>
      </w:r>
      <w:r w:rsidR="007A2728">
        <w:t xml:space="preserve"> Gini Index, Decile Ratios, Palma Ratio, and Theil Index</w:t>
      </w:r>
      <w:r w:rsidR="00643F01">
        <w:t xml:space="preserve"> </w:t>
      </w:r>
      <w:r w:rsidR="00643F01">
        <w:fldChar w:fldCharType="begin"/>
      </w:r>
      <w:r w:rsidR="00643F01">
        <w:instrText xml:space="preserve"> ADDIN ZOTERO_ITEM CSL_CITATION {"citationID":"cUTlFrtf","properties":{"formattedCitation":"(Trapeznikova 2019)","plainCitation":"(Trapeznikova 2019)","noteIndex":0},"citationItems":[{"id":238,"uris":["http://zotero.org/users/11278442/items/LWBFRH5A"],"itemData":{"id":238,"type":"article-journal","abstract":"Summary measures of inequality differ from one another and give different pictures of the evolution of economic inequality over time","container-title":"IZA World of Labor","DOI":"10.15185/izawol.462","language":"en-US","source":"wol.iza.org","title":"Measuring income inequality","URL":"https://wol.iza.org/articles/measuring-income-inequality/long","author":[{"family":"Trapeznikova","given":"Ija"}],"accessed":{"date-parts":[["2024",4,2]]},"issued":{"date-parts":[["2019",7,17]]}}}],"schema":"https://github.com/citation-style-language/schema/raw/master/csl-citation.json"} </w:instrText>
      </w:r>
      <w:r w:rsidR="00643F01">
        <w:fldChar w:fldCharType="separate"/>
      </w:r>
      <w:r w:rsidR="00643F01">
        <w:rPr>
          <w:noProof/>
        </w:rPr>
        <w:t>(Trapeznikova 2019)</w:t>
      </w:r>
      <w:r w:rsidR="00643F01">
        <w:fldChar w:fldCharType="end"/>
      </w:r>
      <w:r w:rsidR="007A2728">
        <w:t xml:space="preserve">. All of them carry benefits and limitations. This case study will use the Gini Index as </w:t>
      </w:r>
      <w:r w:rsidR="00082EAC">
        <w:t xml:space="preserve">the </w:t>
      </w:r>
      <w:r w:rsidR="007A2728">
        <w:t xml:space="preserve">dependent variable. </w:t>
      </w:r>
      <w:r w:rsidR="007A2728" w:rsidRPr="007A2728">
        <w:t>The OECD defines it as the comparison of cumulative proportions of the population against cumulative proportions of income they receive, and it ranges between 0 in the case of perfect equality and 1 in the case of perfect inequality</w:t>
      </w:r>
      <w:r w:rsidR="00643F01">
        <w:t xml:space="preserve"> </w:t>
      </w:r>
      <w:r w:rsidR="00643F01">
        <w:fldChar w:fldCharType="begin"/>
      </w:r>
      <w:r w:rsidR="00643F01">
        <w:instrText xml:space="preserve"> ADDIN ZOTERO_ITEM CSL_CITATION {"citationID":"8SuAbWHx","properties":{"formattedCitation":"(\\uc0\\u8220{}Inequality - Income Inequality - OECD Data,\\uc0\\u8221{} n.d.)","plainCitation":"(“Inequality - Income Inequality - OECD Data,” n.d.)","noteIndex":0},"citationItems":[{"id":240,"uris":["http://zotero.org/users/11278442/items/3KLSG44G"],"itemData":{"id":240,"type":"webpage","abstract":"Find, compare and share OECD data by indicator.","container-title":"theOECD","language":"en","title":"Inequality - Income inequality - OECD Data","URL":"http://data.oecd.org/inequality/income-inequality.htm","accessed":{"date-parts":[["2024",4,2]]}}}],"schema":"https://github.com/citation-style-language/schema/raw/master/csl-citation.json"} </w:instrText>
      </w:r>
      <w:r w:rsidR="00643F01">
        <w:fldChar w:fldCharType="separate"/>
      </w:r>
      <w:r w:rsidR="00643F01" w:rsidRPr="00643F01">
        <w:rPr>
          <w:lang w:val="en-GB"/>
        </w:rPr>
        <w:t>(“Inequality - Income Inequality - OECD Data,” n.d.)</w:t>
      </w:r>
      <w:r w:rsidR="00643F01">
        <w:fldChar w:fldCharType="end"/>
      </w:r>
      <w:r w:rsidR="007A2728" w:rsidRPr="007A2728">
        <w:t>.</w:t>
      </w:r>
      <w:r w:rsidR="007A2728">
        <w:t xml:space="preserve"> And in this case, income is defined as </w:t>
      </w:r>
      <w:r w:rsidR="00082EAC">
        <w:t>household</w:t>
      </w:r>
      <w:r w:rsidR="007A2728">
        <w:t xml:space="preserve"> disposable income for a specific year. It incorporates earnings, self-employment, capital income and public cash transfer. Therefore, the choice of adopting the Gini Coefficient also relies on the fact that it uses information from the entire income distribution and it is independent </w:t>
      </w:r>
      <w:r w:rsidR="00082EAC">
        <w:t>of</w:t>
      </w:r>
      <w:r w:rsidR="007A2728">
        <w:t xml:space="preserve"> the size of the country’s economy and population.</w:t>
      </w:r>
      <w:r w:rsidR="00802FA8">
        <w:t xml:space="preserve"> Moreover, the Gini Index allows for </w:t>
      </w:r>
      <w:r w:rsidR="00314868">
        <w:t xml:space="preserve">an </w:t>
      </w:r>
      <w:r w:rsidR="00802FA8">
        <w:t xml:space="preserve">easier interpretation </w:t>
      </w:r>
      <w:r w:rsidR="00082EAC">
        <w:t>of</w:t>
      </w:r>
      <w:r w:rsidR="00802FA8">
        <w:t xml:space="preserve"> regression results. </w:t>
      </w:r>
    </w:p>
    <w:p w14:paraId="5665E35D" w14:textId="77777777" w:rsidR="0004693C" w:rsidRDefault="0004693C" w:rsidP="00605CFF"/>
    <w:p w14:paraId="59436C2F" w14:textId="77777777" w:rsidR="0004693C" w:rsidRDefault="0004693C" w:rsidP="00605CFF"/>
    <w:p w14:paraId="57B68E1E" w14:textId="1176EB38" w:rsidR="0004693C" w:rsidRDefault="0004693C" w:rsidP="00605CFF">
      <w:r>
        <w:rPr>
          <w:noProof/>
        </w:rPr>
        <w:drawing>
          <wp:inline distT="0" distB="0" distL="0" distR="0" wp14:anchorId="00914F02" wp14:editId="6DFDA553">
            <wp:extent cx="5731510" cy="3439160"/>
            <wp:effectExtent l="0" t="0" r="0" b="0"/>
            <wp:docPr id="250762779" name="Picture 1" descr="A graph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762779" name="Picture 1" descr="A graph of different colored lines&#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p w14:paraId="6B8D1768" w14:textId="77777777" w:rsidR="0004693C" w:rsidRDefault="0004693C" w:rsidP="00605CFF"/>
    <w:p w14:paraId="3E6FE8A9" w14:textId="77777777" w:rsidR="00440632" w:rsidRDefault="00440632" w:rsidP="00605CFF"/>
    <w:p w14:paraId="275AF55F" w14:textId="0A9A2CD5" w:rsidR="00F669CF" w:rsidRDefault="006D51F4" w:rsidP="00605CFF">
      <w:r>
        <w:t xml:space="preserve">Now the focus </w:t>
      </w:r>
      <w:r w:rsidR="00083B58">
        <w:t>moves</w:t>
      </w:r>
      <w:r>
        <w:t xml:space="preserve"> to the two </w:t>
      </w:r>
      <w:r w:rsidR="00082EAC">
        <w:t>important</w:t>
      </w:r>
      <w:r>
        <w:t xml:space="preserve"> independent variables: Trade Union Density and Collective Bargain Coverage. </w:t>
      </w:r>
      <w:r w:rsidR="00826913">
        <w:t xml:space="preserve">According to the </w:t>
      </w:r>
      <w:r w:rsidR="00826913" w:rsidRPr="00826913">
        <w:t>European Industrial Relations Dictionary</w:t>
      </w:r>
      <w:r w:rsidR="00826913">
        <w:t xml:space="preserve">, Trade Union Density is defined as the ratio of salary and wage earners that </w:t>
      </w:r>
      <w:r w:rsidR="00826913" w:rsidRPr="00826913">
        <w:t>are trade union members to the total number of wage and salary earners in the economy</w:t>
      </w:r>
      <w:r w:rsidR="00826913">
        <w:t xml:space="preserve">. </w:t>
      </w:r>
      <w:r w:rsidR="00F669CF">
        <w:t>I</w:t>
      </w:r>
      <w:r w:rsidR="00826913">
        <w:t xml:space="preserve">t is a valuable </w:t>
      </w:r>
      <w:r w:rsidR="00082EAC">
        <w:t>metric</w:t>
      </w:r>
      <w:r w:rsidR="00826913">
        <w:t xml:space="preserve"> </w:t>
      </w:r>
      <w:r w:rsidR="00826913">
        <w:lastRenderedPageBreak/>
        <w:t xml:space="preserve">to assess the power of trade unions across countries </w:t>
      </w:r>
      <w:r w:rsidR="00826913">
        <w:fldChar w:fldCharType="begin"/>
      </w:r>
      <w:r w:rsidR="00826913">
        <w:instrText xml:space="preserve"> ADDIN ZOTERO_ITEM CSL_CITATION {"citationID":"ExoQkQVm","properties":{"formattedCitation":"(EuroFound 2019)","plainCitation":"(EuroFound 2019)","noteIndex":0},"citationItems":[{"id":250,"uris":["http://zotero.org/users/11278442/items/KB2ACYNY"],"itemData":{"id":250,"type":"webpage","container-title":"eurofound.eu","title":"European Foundation for the Improvement of Living and Working Conditions","URL":"https://www.eurofound.europa.eu/en/european-industrial-relations-dictionary/trade-union-density","author":[{"literal":"EuroFound"}],"accessed":{"date-parts":[["2024",4,3]]},"issued":{"date-parts":[["2019",12,3]]}}}],"schema":"https://github.com/citation-style-language/schema/raw/master/csl-citation.json"} </w:instrText>
      </w:r>
      <w:r w:rsidR="00826913">
        <w:fldChar w:fldCharType="separate"/>
      </w:r>
      <w:r w:rsidR="00826913">
        <w:rPr>
          <w:noProof/>
        </w:rPr>
        <w:t>(EuroFound 2019)</w:t>
      </w:r>
      <w:r w:rsidR="00826913">
        <w:fldChar w:fldCharType="end"/>
      </w:r>
      <w:r w:rsidR="00826913">
        <w:t xml:space="preserve">. </w:t>
      </w:r>
      <w:r w:rsidR="00F669CF" w:rsidRPr="00F669CF">
        <w:t>On the other hand, Collective Bargaining Coverage is a broader indicator that demonstrates how workers' employment is influenced by negotiations within their organization</w:t>
      </w:r>
      <w:r w:rsidR="00F669CF">
        <w:t xml:space="preserve"> </w:t>
      </w:r>
      <w:r w:rsidR="00C80E20">
        <w:fldChar w:fldCharType="begin"/>
      </w:r>
      <w:r w:rsidR="00C80E20">
        <w:instrText xml:space="preserve"> ADDIN ZOTERO_ITEM CSL_CITATION {"citationID":"TTq97kfX","properties":{"formattedCitation":"(EuroFound 2022)","plainCitation":"(EuroFound 2022)","noteIndex":0},"citationItems":[{"id":252,"uris":["http://zotero.org/users/11278442/items/V63KVN5N"],"itemData":{"id":252,"type":"webpage","container-title":"eurofound.eu","title":"Collective bargaining coverage | European Foundation for the Improvement of Living and Working Conditions","URL":"https://www.eurofound.europa.eu/en/european-industrial-relations-dictionary/collective-bargaining-coverage","author":[{"literal":"EuroFound"}],"accessed":{"date-parts":[["2024",4,3]]},"issued":{"date-parts":[["2022",12,15]]}}}],"schema":"https://github.com/citation-style-language/schema/raw/master/csl-citation.json"} </w:instrText>
      </w:r>
      <w:r w:rsidR="00C80E20">
        <w:fldChar w:fldCharType="separate"/>
      </w:r>
      <w:r w:rsidR="00C80E20">
        <w:rPr>
          <w:noProof/>
        </w:rPr>
        <w:t>(EuroFound 2022)</w:t>
      </w:r>
      <w:r w:rsidR="00C80E20">
        <w:fldChar w:fldCharType="end"/>
      </w:r>
      <w:r w:rsidR="00C80E20">
        <w:t xml:space="preserve">. The spectrum in Europe is, according to the Eurofound, polarized with a group of countries which have almost complete coverage (Italy, Austria, Spain, Finland, France, and Sweden) and at the other side of the spectrum, another group with hardly any coverage (Estonia, Czechia, Lithuania, Poland, Slovakia, and Hungary) </w:t>
      </w:r>
      <w:r w:rsidR="00C80E20">
        <w:fldChar w:fldCharType="begin"/>
      </w:r>
      <w:r w:rsidR="00C80E20">
        <w:instrText xml:space="preserve"> ADDIN ZOTERO_ITEM CSL_CITATION {"citationID":"7xUSChZv","properties":{"formattedCitation":"(EuroFound 2022)","plainCitation":"(EuroFound 2022)","noteIndex":0},"citationItems":[{"id":252,"uris":["http://zotero.org/users/11278442/items/V63KVN5N"],"itemData":{"id":252,"type":"webpage","container-title":"eurofound.eu","title":"Collective bargaining coverage | European Foundation for the Improvement of Living and Working Conditions","URL":"https://www.eurofound.europa.eu/en/european-industrial-relations-dictionary/collective-bargaining-coverage","author":[{"literal":"EuroFound"}],"accessed":{"date-parts":[["2024",4,3]]},"issued":{"date-parts":[["2022",12,15]]}}}],"schema":"https://github.com/citation-style-language/schema/raw/master/csl-citation.json"} </w:instrText>
      </w:r>
      <w:r w:rsidR="00C80E20">
        <w:fldChar w:fldCharType="separate"/>
      </w:r>
      <w:r w:rsidR="00C80E20">
        <w:rPr>
          <w:noProof/>
        </w:rPr>
        <w:t>(EuroFound 2022)</w:t>
      </w:r>
      <w:r w:rsidR="00C80E20">
        <w:fldChar w:fldCharType="end"/>
      </w:r>
      <w:r w:rsidR="00F669CF">
        <w:t xml:space="preserve"> </w:t>
      </w:r>
      <w:r w:rsidR="00F669CF">
        <w:fldChar w:fldCharType="begin"/>
      </w:r>
      <w:r w:rsidR="00F669CF">
        <w:instrText xml:space="preserve"> ADDIN ZOTERO_ITEM CSL_CITATION {"citationID":"0TPWQTmO","properties":{"formattedCitation":"(Bental and Demougin 2010)","plainCitation":"(Bental and Demougin 2010)","noteIndex":0},"citationItems":[{"id":256,"uris":["http://zotero.org/users/11278442/items/BP7XU8PN"],"itemData":{"id":256,"type":"article-journal","abstract":"We model the design of labor market institutions in an economy characterized by moral hazard and irreversible investment. In this setting, the environment setting affects the bargaining power of labor. At the optimum the allocation of bargaining power balances the aforementioned frictions. We examine the impact of improved monitoring and investigate the implication upon labor share, effort and investment. The model’s predictions are consistent with recent decreasing labor shares and wages per effective labor units observed in most OECD countries. It is also consistent with rising labor productivity and declining ratio between effective labor and capital found in many of these countries.","container-title":"Journal of Macroeconomics","DOI":"10.1016/j.jmacro.2009.09.005","ISSN":"0164-0704","issue":"1","journalAbbreviation":"Journal of Macroeconomics","page":"443-456","source":"ScienceDirect","title":"Declining labor shares and bargaining power: An institutional explanation","title-short":"Declining labor shares and bargaining power","volume":"32","author":[{"family":"Bental","given":"Benjamin"},{"family":"Demougin","given":"Dominique"}],"issued":{"date-parts":[["2010",3,1]]}}}],"schema":"https://github.com/citation-style-language/schema/raw/master/csl-citation.json"} </w:instrText>
      </w:r>
      <w:r w:rsidR="00F669CF">
        <w:fldChar w:fldCharType="separate"/>
      </w:r>
      <w:r w:rsidR="00F669CF">
        <w:rPr>
          <w:noProof/>
        </w:rPr>
        <w:t>(Bental and Demougin 2010)</w:t>
      </w:r>
      <w:r w:rsidR="00F669CF">
        <w:fldChar w:fldCharType="end"/>
      </w:r>
      <w:r w:rsidR="00C80E20">
        <w:t xml:space="preserve">. </w:t>
      </w:r>
    </w:p>
    <w:p w14:paraId="2A0643C9" w14:textId="77777777" w:rsidR="00440632" w:rsidRDefault="00440632" w:rsidP="00605CFF"/>
    <w:p w14:paraId="2F8E743B" w14:textId="070DCC23" w:rsidR="00440632" w:rsidRDefault="00440632" w:rsidP="00815CFD">
      <w:pPr>
        <w:jc w:val="center"/>
      </w:pPr>
      <w:r>
        <w:rPr>
          <w:noProof/>
        </w:rPr>
        <w:drawing>
          <wp:inline distT="0" distB="0" distL="0" distR="0" wp14:anchorId="375CFFE1" wp14:editId="0351AEB2">
            <wp:extent cx="4571664" cy="2743200"/>
            <wp:effectExtent l="0" t="0" r="635" b="0"/>
            <wp:docPr id="874680839" name="Picture 3" descr="A graph with lines and lines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680839" name="Picture 3" descr="A graph with lines and lines on a black background&#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58291" cy="2795180"/>
                    </a:xfrm>
                    <a:prstGeom prst="rect">
                      <a:avLst/>
                    </a:prstGeom>
                  </pic:spPr>
                </pic:pic>
              </a:graphicData>
            </a:graphic>
          </wp:inline>
        </w:drawing>
      </w:r>
    </w:p>
    <w:p w14:paraId="5B49A6BA" w14:textId="77777777" w:rsidR="0004693C" w:rsidRDefault="0004693C" w:rsidP="00605CFF"/>
    <w:p w14:paraId="29DD4FF0" w14:textId="690F38A2" w:rsidR="00671DC2" w:rsidRDefault="00C80E20" w:rsidP="00605CFF">
      <w:r>
        <w:t>Since the 1980s, trade union membership in most EU countries has declined, partly due to employees increasingly opting out of joining unions and the rise of non-standard employment</w:t>
      </w:r>
      <w:r w:rsidR="00A43213">
        <w:t xml:space="preserve"> </w:t>
      </w:r>
      <w:r w:rsidR="00A43213">
        <w:fldChar w:fldCharType="begin"/>
      </w:r>
      <w:r w:rsidR="00A43213">
        <w:instrText xml:space="preserve"> ADDIN ZOTERO_ITEM CSL_CITATION {"citationID":"kkye9EWt","properties":{"formattedCitation":"(Onaran and Guschanski 2018)","plainCitation":"(Onaran and Guschanski 2018)","noteIndex":0},"citationItems":[{"id":228,"uris":["http://zotero.org/users/11278442/items/PZIA3KDI"],"itemData":{"id":228,"type":"article-journal","abstract":"Alexander Guschanski and Ozlem Onaran (2018) of the University of Greenwich Political Economy Research Centre provide evidence that changes in bargaining power, in particular the fall in union density and welfare state retrenchment, lie at the core of rising income inequality between labour and capital. The research challenges the established consensus that inequality is an unavoidable outcome of technological change or globalisation, and shows the importance of labour market institutions and social protection policies. The results of their recent project, funded by the Institute for New Economic Thinking, will be presented at the Royal Economics Society Annual Conference.","collection-title":"Greenwich Papers in Political Economy","container-title":"Greenwich Papers in Political Economy","language":"en","note":"number: 19372\npublisher: University of Greenwich, Greenwich Political Economy Research Centre","source":"ideas.repec.org","title":"What drives the four decades-long decline in labour’s share of income?","URL":"https://ideas.repec.org//p/gpe/wpaper/19372.html","author":[{"family":"Onaran","given":"Özlem"},{"family":"Guschanski","given":"Alexander"}],"accessed":{"date-parts":[["2024",4,2]]},"issued":{"date-parts":[["2018",3,3]]}}}],"schema":"https://github.com/citation-style-language/schema/raw/master/csl-citation.json"} </w:instrText>
      </w:r>
      <w:r w:rsidR="00A43213">
        <w:fldChar w:fldCharType="separate"/>
      </w:r>
      <w:r w:rsidR="00A43213">
        <w:rPr>
          <w:noProof/>
        </w:rPr>
        <w:t>(Onaran and Guschanski 2018)</w:t>
      </w:r>
      <w:r w:rsidR="00A43213">
        <w:fldChar w:fldCharType="end"/>
      </w:r>
      <w:r w:rsidR="0004693C">
        <w:t>.</w:t>
      </w:r>
      <w:r>
        <w:t xml:space="preserve"> </w:t>
      </w:r>
      <w:r w:rsidR="00440632">
        <w:t xml:space="preserve">Moreover, as Bertal and Demougin showed, most european countries have undertaken substantial institutional reforms since the beginning of the 2000’s. Meanwhile the industrial output has been significantly growing, the labor shares in national income have been decreasing </w:t>
      </w:r>
      <w:r w:rsidR="00440632">
        <w:fldChar w:fldCharType="begin"/>
      </w:r>
      <w:r w:rsidR="00440632">
        <w:instrText xml:space="preserve"> ADDIN ZOTERO_ITEM CSL_CITATION {"citationID":"rGkghy49","properties":{"formattedCitation":"(Bental and Demougin 2010)","plainCitation":"(Bental and Demougin 2010)","noteIndex":0},"citationItems":[{"id":256,"uris":["http://zotero.org/users/11278442/items/BP7XU8PN"],"itemData":{"id":256,"type":"article-journal","abstract":"We model the design of labor market institutions in an economy characterized by moral hazard and irreversible investment. In this setting, the environment setting affects the bargaining power of labor. At the optimum the allocation of bargaining power balances the aforementioned frictions. We examine the impact of improved monitoring and investigate the implication upon labor share, effort and investment. The model’s predictions are consistent with recent decreasing labor shares and wages per effective labor units observed in most OECD countries. It is also consistent with rising labor productivity and declining ratio between effective labor and capital found in many of these countries.","container-title":"Journal of Macroeconomics","DOI":"10.1016/j.jmacro.2009.09.005","ISSN":"0164-0704","issue":"1","journalAbbreviation":"Journal of Macroeconomics","page":"443-456","source":"ScienceDirect","title":"Declining labor shares and bargaining power: An institutional explanation","title-short":"Declining labor shares and bargaining power","volume":"32","author":[{"family":"Bental","given":"Benjamin"},{"family":"Demougin","given":"Dominique"}],"issued":{"date-parts":[["2010",3,1]]}}}],"schema":"https://github.com/citation-style-language/schema/raw/master/csl-citation.json"} </w:instrText>
      </w:r>
      <w:r w:rsidR="00440632">
        <w:fldChar w:fldCharType="separate"/>
      </w:r>
      <w:r w:rsidR="00440632">
        <w:rPr>
          <w:noProof/>
        </w:rPr>
        <w:t>(Bental and Demougin 2010)</w:t>
      </w:r>
      <w:r w:rsidR="00440632">
        <w:fldChar w:fldCharType="end"/>
      </w:r>
      <w:r w:rsidR="00440632">
        <w:t xml:space="preserve">. </w:t>
      </w:r>
      <w:r>
        <w:t xml:space="preserve">Despite this, trade union density, which calculates the proportion of unionized workers in the workforce, shows more stability, reflecting </w:t>
      </w:r>
      <w:r w:rsidR="00082EAC">
        <w:t>labour</w:t>
      </w:r>
      <w:r>
        <w:t xml:space="preserve"> market trends. This stability was particularly evident during the recent economic downturn when the </w:t>
      </w:r>
      <w:r w:rsidR="00082EAC">
        <w:t>economy in</w:t>
      </w:r>
      <w:r>
        <w:t xml:space="preserve"> </w:t>
      </w:r>
      <w:r w:rsidR="00082EAC">
        <w:t>the unions</w:t>
      </w:r>
      <w:r>
        <w:t xml:space="preserve"> </w:t>
      </w:r>
      <w:r w:rsidR="00082EAC">
        <w:t xml:space="preserve">declined </w:t>
      </w:r>
      <w:r>
        <w:t>due to significant employment losses</w:t>
      </w:r>
      <w:r w:rsidR="00671DC2">
        <w:t xml:space="preserve"> </w:t>
      </w:r>
      <w:r w:rsidR="00671DC2">
        <w:fldChar w:fldCharType="begin"/>
      </w:r>
      <w:r w:rsidR="00671DC2">
        <w:instrText xml:space="preserve"> ADDIN ZOTERO_ITEM CSL_CITATION {"citationID":"J3v0yzVT","properties":{"formattedCitation":"(Onaran and Guschanski 2018)","plainCitation":"(Onaran and Guschanski 2018)","noteIndex":0},"citationItems":[{"id":228,"uris":["http://zotero.org/users/11278442/items/PZIA3KDI"],"itemData":{"id":228,"type":"article-journal","abstract":"Alexander Guschanski and Ozlem Onaran (2018) of the University of Greenwich Political Economy Research Centre provide evidence that changes in bargaining power, in particular the fall in union density and welfare state retrenchment, lie at the core of rising income inequality between labour and capital. The research challenges the established consensus that inequality is an unavoidable outcome of technological change or globalisation, and shows the importance of labour market institutions and social protection policies. The results of their recent project, funded by the Institute for New Economic Thinking, will be presented at the Royal Economics Society Annual Conference.","collection-title":"Greenwich Papers in Political Economy","container-title":"Greenwich Papers in Political Economy","language":"en","note":"number: 19372\npublisher: University of Greenwich, Greenwich Political Economy Research Centre","source":"ideas.repec.org","title":"What drives the four decades-long decline in labour’s share of income?","URL":"https://ideas.repec.org//p/gpe/wpaper/19372.html","author":[{"family":"Onaran","given":"Özlem"},{"family":"Guschanski","given":"Alexander"}],"accessed":{"date-parts":[["2024",4,2]]},"issued":{"date-parts":[["2018",3,3]]}}}],"schema":"https://github.com/citation-style-language/schema/raw/master/csl-citation.json"} </w:instrText>
      </w:r>
      <w:r w:rsidR="00671DC2">
        <w:fldChar w:fldCharType="separate"/>
      </w:r>
      <w:r w:rsidR="00671DC2">
        <w:rPr>
          <w:noProof/>
        </w:rPr>
        <w:t>(Onaran and Guschanski 2018)</w:t>
      </w:r>
      <w:r w:rsidR="00671DC2">
        <w:fldChar w:fldCharType="end"/>
      </w:r>
      <w:r>
        <w:t>.</w:t>
      </w:r>
    </w:p>
    <w:p w14:paraId="3E20D074" w14:textId="6F945DBF" w:rsidR="00671DC2" w:rsidRDefault="00C80E20" w:rsidP="00605CFF">
      <w:r>
        <w:t xml:space="preserve"> </w:t>
      </w:r>
    </w:p>
    <w:p w14:paraId="4A7E2850" w14:textId="7135E9D6" w:rsidR="004D41E2" w:rsidRDefault="00C80E20" w:rsidP="00605CFF">
      <w:r>
        <w:t xml:space="preserve">Union density varies widely across </w:t>
      </w:r>
      <w:r w:rsidR="003D7517">
        <w:t>Europe</w:t>
      </w:r>
      <w:r>
        <w:t>, with Scandinavian countries maintaining high levels compared to the lower rates in Central and Eastern Europe, and a general declining trend observed across Continental and Mediterranean countries. Differences in union density are also pronounced between sectors within countries, with higher rates in the public sector due to better job security and working conditions</w:t>
      </w:r>
      <w:r w:rsidR="004D41E2">
        <w:t xml:space="preserve"> </w:t>
      </w:r>
      <w:r w:rsidR="004D41E2">
        <w:fldChar w:fldCharType="begin"/>
      </w:r>
      <w:r w:rsidR="004D41E2">
        <w:instrText xml:space="preserve"> ADDIN ZOTERO_ITEM CSL_CITATION {"citationID":"Eke2EC7z","properties":{"formattedCitation":"(Bental and Demougin 2010)","plainCitation":"(Bental and Demougin 2010)","noteIndex":0},"citationItems":[{"id":256,"uris":["http://zotero.org/users/11278442/items/BP7XU8PN"],"itemData":{"id":256,"type":"article-journal","abstract":"We model the design of labor market institutions in an economy characterized by moral hazard and irreversible investment. In this setting, the environment setting affects the bargaining power of labor. At the optimum the allocation of bargaining power balances the aforementioned frictions. We examine the impact of improved monitoring and investigate the implication upon labor share, effort and investment. The model’s predictions are consistent with recent decreasing labor shares and wages per effective labor units observed in most OECD countries. It is also consistent with rising labor productivity and declining ratio between effective labor and capital found in many of these countries.","container-title":"Journal of Macroeconomics","DOI":"10.1016/j.jmacro.2009.09.005","ISSN":"0164-0704","issue":"1","journalAbbreviation":"Journal of Macroeconomics","page":"443-456","source":"ScienceDirect","title":"Declining labor shares and bargaining power: An institutional explanation","title-short":"Declining labor shares and bargaining power","volume":"32","author":[{"family":"Bental","given":"Benjamin"},{"family":"Demougin","given":"Dominique"}],"issued":{"date-parts":[["2010",3,1]]}}}],"schema":"https://github.com/citation-style-language/schema/raw/master/csl-citation.json"} </w:instrText>
      </w:r>
      <w:r w:rsidR="004D41E2">
        <w:fldChar w:fldCharType="separate"/>
      </w:r>
      <w:r w:rsidR="004D41E2">
        <w:rPr>
          <w:noProof/>
        </w:rPr>
        <w:t>(Bental and Demougin 2010)</w:t>
      </w:r>
      <w:r w:rsidR="004D41E2">
        <w:fldChar w:fldCharType="end"/>
      </w:r>
      <w:r>
        <w:t>. Factors influencing these differences include institutional arrangements like collective bargaining extension mechanisms, the services provided by unions, and their role in welfare systems</w:t>
      </w:r>
      <w:r w:rsidR="004D41E2">
        <w:t xml:space="preserve">. </w:t>
      </w:r>
      <w:r w:rsidR="004D41E2" w:rsidRPr="004D41E2">
        <w:t xml:space="preserve">Notably, the Ghent system, which links unemployment benefits administration with trade unions or labor organizations, is more prevalent in Coordinated Market Economies (CMEs) where collective bargaining and collaboration between employers, employees, and the state are more </w:t>
      </w:r>
      <w:r w:rsidR="004D41E2" w:rsidRPr="004D41E2">
        <w:lastRenderedPageBreak/>
        <w:t>pronounced, contrasting with Liberal Market Economies (LMEs) where such systems are less prevalent due to a greater reliance on market mechanisms and individual responsibility for social welfare provision.</w:t>
      </w:r>
    </w:p>
    <w:p w14:paraId="1D93FE50" w14:textId="4F00A859" w:rsidR="004D41E2" w:rsidRDefault="00865C73" w:rsidP="00605CFF">
      <w:r>
        <w:t xml:space="preserve">The thesis addresses this aspect. Initially, macroeconomic variables influencing the negotiation process are meticulously examined. </w:t>
      </w:r>
    </w:p>
    <w:p w14:paraId="13DE2D44" w14:textId="5F5E1D43" w:rsidR="0014366A" w:rsidRDefault="000B0190" w:rsidP="00605CFF">
      <w:r>
        <w:rPr>
          <w:noProof/>
        </w:rPr>
        <w:drawing>
          <wp:inline distT="0" distB="0" distL="0" distR="0" wp14:anchorId="38956A1C" wp14:editId="3467A216">
            <wp:extent cx="5169877" cy="3446394"/>
            <wp:effectExtent l="0" t="0" r="0" b="0"/>
            <wp:docPr id="1652073349"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073349" name="Picture 2" descr="A diagram of a 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178127" cy="3451893"/>
                    </a:xfrm>
                    <a:prstGeom prst="rect">
                      <a:avLst/>
                    </a:prstGeom>
                  </pic:spPr>
                </pic:pic>
              </a:graphicData>
            </a:graphic>
          </wp:inline>
        </w:drawing>
      </w:r>
    </w:p>
    <w:p w14:paraId="0B5A05B9" w14:textId="77777777" w:rsidR="0014366A" w:rsidRDefault="0014366A" w:rsidP="00605CFF"/>
    <w:p w14:paraId="5A102CBD" w14:textId="64EED193" w:rsidR="003323CA" w:rsidRDefault="00082EAC" w:rsidP="00605CFF">
      <w:r>
        <w:t>To account</w:t>
      </w:r>
      <w:r w:rsidR="00C80E20">
        <w:t xml:space="preserve"> for the size of each country in the project, the Gross Domestic </w:t>
      </w:r>
      <w:r>
        <w:t>Product is</w:t>
      </w:r>
      <w:r w:rsidR="00C80E20">
        <w:t xml:space="preserve"> analysed.</w:t>
      </w:r>
      <w:r w:rsidR="00C80E20" w:rsidRPr="003323CA">
        <w:t xml:space="preserve"> </w:t>
      </w:r>
      <w:r w:rsidR="003323CA" w:rsidRPr="003323CA">
        <w:t xml:space="preserve">Gross Domestic Product (GDP) and Foreign Direct Investments (FDIs), both inflow and outflow, can </w:t>
      </w:r>
      <w:r>
        <w:t>significantly affect</w:t>
      </w:r>
      <w:r w:rsidR="003323CA" w:rsidRPr="003323CA">
        <w:t xml:space="preserve"> </w:t>
      </w:r>
      <w:r>
        <w:t>labour</w:t>
      </w:r>
      <w:r w:rsidR="003323CA" w:rsidRPr="003323CA">
        <w:t xml:space="preserve"> unions and income inequality across different countries. A robust GDP growth can enhance </w:t>
      </w:r>
      <w:r>
        <w:t>labour</w:t>
      </w:r>
      <w:r w:rsidR="003323CA" w:rsidRPr="003323CA">
        <w:t xml:space="preserve"> market conditions, potentially strengthening the bargaining power of </w:t>
      </w:r>
      <w:r>
        <w:t>labour</w:t>
      </w:r>
      <w:r w:rsidR="003323CA" w:rsidRPr="003323CA">
        <w:t xml:space="preserve"> unions by increasing the demand for </w:t>
      </w:r>
      <w:r>
        <w:t>labour</w:t>
      </w:r>
      <w:r w:rsidR="003323CA" w:rsidRPr="003323CA">
        <w:t>. This, in turn, can lead to improved wages and working conditions negotiated by unions. However, rapid economic growth without equitable distribution can also exacerbate income inequality if the gains are not uniformly shared across the workforce</w:t>
      </w:r>
      <w:r w:rsidR="00865C73">
        <w:t xml:space="preserve"> </w:t>
      </w:r>
      <w:r w:rsidR="00865C73">
        <w:fldChar w:fldCharType="begin"/>
      </w:r>
      <w:r w:rsidR="00865C73">
        <w:instrText xml:space="preserve"> ADDIN ZOTERO_ITEM CSL_CITATION {"citationID":"w8VuhB3F","properties":{"formattedCitation":"(Addison and Hirsch 1989)","plainCitation":"(Addison and Hirsch 1989)","noteIndex":0},"citationItems":[{"id":262,"uris":["http://zotero.org/users/11278442/items/LXNVIKRJ"],"itemData":{"id":262,"type":"article-journal","container-title":"Journal of Labor Economics","DOI":"10.1086/298199","ISSN":"0734-306X, 1537-5307","issue":"1","journalAbbreviation":"Journal of Labor Economics","language":"en","page":"72-105","source":"DOI.org (Crossref)","title":"Union Effects on Productivity, Profits, and Growth: Has the Long Run Arrived?","title-short":"Union Effects on Productivity, Profits, and Growth","volume":"7","author":[{"family":"Addison","given":"John T."},{"family":"Hirsch","given":"Barry T."}],"issued":{"date-parts":[["1989",1]]}}}],"schema":"https://github.com/citation-style-language/schema/raw/master/csl-citation.json"} </w:instrText>
      </w:r>
      <w:r w:rsidR="00865C73">
        <w:fldChar w:fldCharType="separate"/>
      </w:r>
      <w:r w:rsidR="00865C73">
        <w:rPr>
          <w:noProof/>
        </w:rPr>
        <w:t>(Addison and Hirsch 1989)</w:t>
      </w:r>
      <w:r w:rsidR="00865C73">
        <w:fldChar w:fldCharType="end"/>
      </w:r>
      <w:r w:rsidR="003323CA" w:rsidRPr="003323CA">
        <w:t>.</w:t>
      </w:r>
      <w:r w:rsidR="00B22966">
        <w:t xml:space="preserve"> </w:t>
      </w:r>
      <w:r w:rsidR="0021146B" w:rsidRPr="0021146B">
        <w:t>Furthermore, it's noteworthy that, as indicated by the International Labour Organization (ILO) and supported by my data analysis, there exists a mild negative correlation between Gross Domestic Product (GDP) and Union Density, when controlling for both country and time variables. This implies that an increase in a country's wealth doesn't necessarily lead to a decline in union density rates</w:t>
      </w:r>
      <w:r w:rsidR="0021146B">
        <w:t xml:space="preserve"> </w:t>
      </w:r>
      <w:r w:rsidR="0021146B">
        <w:fldChar w:fldCharType="begin"/>
      </w:r>
      <w:r w:rsidR="0021146B">
        <w:instrText xml:space="preserve"> ADDIN ZOTERO_ITEM CSL_CITATION {"citationID":"Pa2qUmA7","properties":{"formattedCitation":"(Jelle Visser 2019)","plainCitation":"(Jelle Visser 2019)","noteIndex":0},"citationItems":[{"id":264,"uris":["http://zotero.org/users/11278442/items/Y2DAWAS3"],"itemData":{"id":264,"type":"report","call-number":"ISBN 978-92-2-134040-9","genre":"ILO.org","language":"English","publisher":"ILO","title":"Trade Unions in the Balance","URL":"https://webapps.ilo.org/wcmsp5/groups/public/---ed_dialogue/---actrav/documents/publication/wcms_722482.pdf","author":[{"literal":"Jelle Visser"}],"accessed":{"date-parts":[["2024",5,6]]},"issued":{"date-parts":[["2019"]]}}}],"schema":"https://github.com/citation-style-language/schema/raw/master/csl-citation.json"} </w:instrText>
      </w:r>
      <w:r w:rsidR="0021146B">
        <w:fldChar w:fldCharType="separate"/>
      </w:r>
      <w:r w:rsidR="0021146B">
        <w:rPr>
          <w:noProof/>
        </w:rPr>
        <w:t>(Jelle Visser 2019)</w:t>
      </w:r>
      <w:r w:rsidR="0021146B">
        <w:fldChar w:fldCharType="end"/>
      </w:r>
      <w:r w:rsidR="0021146B" w:rsidRPr="0021146B">
        <w:t>.</w:t>
      </w:r>
    </w:p>
    <w:p w14:paraId="796173AF" w14:textId="7F8A405F" w:rsidR="0087029C" w:rsidRDefault="00B22966" w:rsidP="00815CFD">
      <w:pPr>
        <w:jc w:val="center"/>
      </w:pPr>
      <w:r>
        <w:rPr>
          <w:noProof/>
        </w:rPr>
        <w:lastRenderedPageBreak/>
        <w:drawing>
          <wp:inline distT="0" distB="0" distL="0" distR="0" wp14:anchorId="63888B3A" wp14:editId="558B30D9">
            <wp:extent cx="5731510" cy="3439160"/>
            <wp:effectExtent l="0" t="0" r="0" b="0"/>
            <wp:docPr id="857485456" name="Picture 3" descr="A graph of growth and dec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485456" name="Picture 3" descr="A graph of growth and decline&#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p w14:paraId="70B64D32" w14:textId="77777777" w:rsidR="0087029C" w:rsidRDefault="0087029C" w:rsidP="00605CFF"/>
    <w:p w14:paraId="30E9648D" w14:textId="75D46868" w:rsidR="0087029C" w:rsidRDefault="003323CA" w:rsidP="00605CFF">
      <w:r>
        <w:t xml:space="preserve">Foreign Direct Investment (FDI) inflows and outflows exhibit correlations with </w:t>
      </w:r>
      <w:r w:rsidR="00082EAC">
        <w:t>labour</w:t>
      </w:r>
      <w:r>
        <w:t xml:space="preserve"> unions and income inequality measures, which are critical to the narrative. FDI inflows appear to be moderately correlated with certain variables related </w:t>
      </w:r>
      <w:r w:rsidR="00082EAC">
        <w:t>to labour</w:t>
      </w:r>
      <w:r>
        <w:t xml:space="preserve"> suggesting that as a country becomes more attractive to foreign investors, it could potentially </w:t>
      </w:r>
      <w:r w:rsidR="00082EAC">
        <w:t>impact labour</w:t>
      </w:r>
      <w:r>
        <w:t xml:space="preserve"> union activities and bargaining power. For example, significant FDI inflows may create more jobs, thereby offering unions a larger base from which to recruit members. However, this influx must be managed carefully, as it can also lead to a form of 'race to the bottom' if countries </w:t>
      </w:r>
      <w:r w:rsidR="00082EAC">
        <w:t>reduce labour standards</w:t>
      </w:r>
      <w:r>
        <w:t xml:space="preserve"> to attract investment, potentially undermining unions and exacerbating income inequality. Conversely, FDI outflows show a different pattern of correlation, implying that when domestic companies invest abroad, this could strain domestic </w:t>
      </w:r>
      <w:r w:rsidR="00082EAC">
        <w:t>labour</w:t>
      </w:r>
      <w:r>
        <w:t xml:space="preserve"> markets and unions if it results in job displacement or downward pressure on wages. </w:t>
      </w:r>
    </w:p>
    <w:p w14:paraId="519DA2ED" w14:textId="2A9FEEA5" w:rsidR="0087029C" w:rsidRDefault="0087029C" w:rsidP="00605CFF">
      <w:r>
        <w:rPr>
          <w:noProof/>
        </w:rPr>
        <w:lastRenderedPageBreak/>
        <w:drawing>
          <wp:inline distT="0" distB="0" distL="0" distR="0" wp14:anchorId="54930356" wp14:editId="663FBDEC">
            <wp:extent cx="5731510" cy="3439160"/>
            <wp:effectExtent l="0" t="0" r="0" b="0"/>
            <wp:docPr id="528370099" name="Picture 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370099" name="Picture 4" descr="A screenshot of a graph&#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p w14:paraId="7E9B1096" w14:textId="77777777" w:rsidR="0087029C" w:rsidRDefault="0087029C" w:rsidP="00605CFF"/>
    <w:p w14:paraId="41723F38" w14:textId="2780431A" w:rsidR="003323CA" w:rsidRDefault="003323CA" w:rsidP="00605CFF">
      <w:r>
        <w:t>This phenomenon can have a ripple effect on income distribution within the country, potentially increasing income inequality if high-wage jobs are outsourced and replaced with lower-wage domestic positions.</w:t>
      </w:r>
    </w:p>
    <w:p w14:paraId="6D7CD89B" w14:textId="77777777" w:rsidR="001D0D0A" w:rsidRDefault="001D0D0A" w:rsidP="00605CFF">
      <w:r>
        <w:t>The negative correlation between inflation and wage growth suggests that when analyzing the effect of trade unions on wages, inflation can distort the picture. If not accounted for, inflation can mask the real value of wage increases negotiated by unions. As a confounder, inflation can lead to an underestimation of the positive impact of unions on wage growth, since nominal wage increases may not translate into actual purchasing power gains for workers without adjusting for inflation.</w:t>
      </w:r>
    </w:p>
    <w:p w14:paraId="698E9F54" w14:textId="442AC2BB" w:rsidR="001D0D0A" w:rsidRDefault="001D0D0A" w:rsidP="00605CFF">
      <w:r>
        <w:t>Given its positive correlation with GDP, wage growth can serve as a confounder when trying to understand the relationship between GDP and income inequality or union strength. If GDP is growing and wages are increasing simultaneously, it might be tempting to attribute rising wages solely to the influence of unions. However, wage growth could also be driven by overall economic expansion independent of union activity. Without controlling for wage growth, one could overstate the role of unions in driving up wages when in fact it could be the rising GDP that is raising incomes across the board.</w:t>
      </w:r>
    </w:p>
    <w:p w14:paraId="7977D575" w14:textId="77777777" w:rsidR="00903757" w:rsidRDefault="00903757" w:rsidP="00605CFF"/>
    <w:p w14:paraId="349F2EEA" w14:textId="6699EB5D" w:rsidR="00903757" w:rsidRDefault="00903757" w:rsidP="00605CFF">
      <w:r w:rsidRPr="00903757">
        <w:t xml:space="preserve">Furthermore, the positive correlation between tax contribution and GDP implies that as the economy expands and tax revenues rise, there may be increased investment in public services and infrastructure, potentially improving employment conditions and impacting wage levels. However, when assessing the influence of unions on income equality, tax contributions could introduce a confounding factor by introducing government policy effects independent of union actions. Strong public services, funded by taxes, can also influence income distribution, potentially alleviating inequality and thereby complicating the relationship between union activities and observed income inequality levels. Thus, while this heightened investment has </w:t>
      </w:r>
      <w:r w:rsidRPr="00903757">
        <w:lastRenderedPageBreak/>
        <w:t>the potential to enhance overall employment conditions and exert an influence on wage levels, it's important to recognize that government policies influenced by tax revenue might independently affect income distribution, irrespective of union actions. Consequently, the interplay between union activities and observed levels of income inequality might be convoluted by the broader effects of government policies and public services funded through taxation.</w:t>
      </w:r>
    </w:p>
    <w:p w14:paraId="40FD0889" w14:textId="77777777" w:rsidR="00903757" w:rsidRDefault="00903757" w:rsidP="00605CFF"/>
    <w:p w14:paraId="01D1DFBD" w14:textId="35C273ED" w:rsidR="00C76C36" w:rsidRDefault="00C76C36" w:rsidP="00605CFF">
      <w:r w:rsidRPr="00C76C36">
        <w:t xml:space="preserve">In the context of </w:t>
      </w:r>
      <w:r w:rsidR="00082EAC">
        <w:t>labour</w:t>
      </w:r>
      <w:r w:rsidRPr="00C76C36">
        <w:t xml:space="preserve"> unions and income inequality, women workers' employment rates and unemployment rates are essential variables that can act as confounders, especially when analyzing gender-specific </w:t>
      </w:r>
      <w:r w:rsidR="00082EAC">
        <w:t>labour</w:t>
      </w:r>
      <w:r w:rsidRPr="00C76C36">
        <w:t xml:space="preserve"> dynamics.</w:t>
      </w:r>
      <w:r w:rsidR="00903757">
        <w:t xml:space="preserve"> </w:t>
      </w:r>
      <w:r w:rsidR="00A97352">
        <w:t>Also,</w:t>
      </w:r>
      <w:r w:rsidRPr="00C76C36">
        <w:t xml:space="preserve"> </w:t>
      </w:r>
      <w:r w:rsidR="00A97352">
        <w:t>t</w:t>
      </w:r>
      <w:r w:rsidRPr="00C76C36">
        <w:t>he proportion of women in the workforce may influence both union membership and income inequality. If unions have been successful in advocating for gender equality, an increase in the rate of female workers could be attributed to union influence. However, if not properly accounted for, the rise in female employment could be incorrectly linked to union efficacy, when in fact, it may reflect broader social changes, such as increased gender equality and changing norms.</w:t>
      </w:r>
    </w:p>
    <w:p w14:paraId="39944ED6" w14:textId="77777777" w:rsidR="00903757" w:rsidRPr="00C76C36" w:rsidRDefault="00903757" w:rsidP="00605CFF"/>
    <w:p w14:paraId="6B80F44E" w14:textId="4952BD31" w:rsidR="00C76C36" w:rsidRDefault="00C6756E" w:rsidP="00605CFF">
      <w:r>
        <w:t>Furthermore</w:t>
      </w:r>
      <w:r w:rsidR="00A97352" w:rsidRPr="00A97352">
        <w:t>,</w:t>
      </w:r>
      <w:r w:rsidR="00A97352">
        <w:rPr>
          <w:b/>
          <w:bCs/>
        </w:rPr>
        <w:t xml:space="preserve"> </w:t>
      </w:r>
      <w:r w:rsidR="00A97352">
        <w:t>t</w:t>
      </w:r>
      <w:r w:rsidR="00C76C36" w:rsidRPr="00C76C36">
        <w:t xml:space="preserve">he unemployment rate for women can confound the relationship between union density and income inequality. A high rate of female unemployment might mask the potential benefits that unionization could have on employed women, such as higher wages or better working conditions. Conversely, lower unemployment rates could reflect successful union negotiations or, independently, an economic environment that is </w:t>
      </w:r>
      <w:r w:rsidR="00082EAC">
        <w:t>favourable</w:t>
      </w:r>
      <w:r w:rsidR="00C76C36" w:rsidRPr="00C76C36">
        <w:t xml:space="preserve"> to female employment.</w:t>
      </w:r>
    </w:p>
    <w:p w14:paraId="09EAC7FA" w14:textId="77777777" w:rsidR="00903757" w:rsidRDefault="00903757" w:rsidP="00605CFF"/>
    <w:p w14:paraId="34F6399E" w14:textId="3DB7A51D" w:rsidR="00887C08" w:rsidRDefault="00643F01" w:rsidP="00605CFF">
      <w:r>
        <w:t xml:space="preserve">In the intricate web of factors that influence </w:t>
      </w:r>
      <w:r w:rsidR="00082EAC">
        <w:t>labour</w:t>
      </w:r>
      <w:r>
        <w:t xml:space="preserve"> unions and their efficacy, the concept of Democratic Governance emerges as a pivotal variable</w:t>
      </w:r>
      <w:r w:rsidR="00065A06">
        <w:t xml:space="preserve"> </w:t>
      </w:r>
      <w:r>
        <w:t xml:space="preserve">. This new construct, borne out of the interaction between Civic Participation and the Rule of Law Index, offers a lens through which to examine the political and legal environment that shapes </w:t>
      </w:r>
      <w:r w:rsidR="00082EAC">
        <w:t>labour</w:t>
      </w:r>
      <w:r>
        <w:t xml:space="preserve"> union activities. </w:t>
      </w:r>
      <w:r w:rsidR="00887C08">
        <w:t>Both variables have been scraped from the Rule of Law Index Database</w:t>
      </w:r>
      <w:r w:rsidR="00887C08">
        <w:rPr>
          <w:rStyle w:val="FootnoteReference"/>
        </w:rPr>
        <w:footnoteReference w:id="1"/>
      </w:r>
      <w:r w:rsidR="00887C08">
        <w:t>.</w:t>
      </w:r>
    </w:p>
    <w:p w14:paraId="5DC9913A" w14:textId="3A75FD73" w:rsidR="00643F01" w:rsidRDefault="00643F01" w:rsidP="00605CFF">
      <w:r>
        <w:t xml:space="preserve">Democratic Governance encapsulates the degree to which citizens </w:t>
      </w:r>
      <w:r w:rsidR="00082EAC">
        <w:t>can</w:t>
      </w:r>
      <w:r>
        <w:t xml:space="preserve"> participate in civil society and the extent to which legal norms are respected and enforced, both of which are critical to the functioning and impact of </w:t>
      </w:r>
      <w:r w:rsidR="00082EAC">
        <w:t>labour</w:t>
      </w:r>
      <w:r>
        <w:t xml:space="preserve"> unions</w:t>
      </w:r>
      <w:r w:rsidR="00C26604">
        <w:t xml:space="preserve"> </w:t>
      </w:r>
      <w:r w:rsidR="00C26604">
        <w:fldChar w:fldCharType="begin"/>
      </w:r>
      <w:r w:rsidR="00C26604">
        <w:instrText xml:space="preserve"> ADDIN ZOTERO_ITEM CSL_CITATION {"citationID":"fvHr3WDf","properties":{"formattedCitation":"(\\uc0\\u8220{}Civil Society Participation Index, 2022,\\uc0\\u8221{} n.d.)","plainCitation":"(“Civil Society Participation Index, 2022,” n.d.)","noteIndex":0},"citationItems":[{"id":246,"uris":["http://zotero.org/users/11278442/items/HETCTHHL"],"itemData":{"id":246,"type":"webpage","title":"Civil society participation index, 2022","URL":"https://ourworldindata.org/grapher/civil-society-participation-index","accessed":{"date-parts":[["2024",4,3]]}}}],"schema":"https://github.com/citation-style-language/schema/raw/master/csl-citation.json"} </w:instrText>
      </w:r>
      <w:r w:rsidR="00C26604">
        <w:fldChar w:fldCharType="separate"/>
      </w:r>
      <w:r w:rsidR="00C26604" w:rsidRPr="00C26604">
        <w:rPr>
          <w:lang w:val="en-GB"/>
        </w:rPr>
        <w:t>(“Civil Society Participation Index, 2022,” n.d.)</w:t>
      </w:r>
      <w:r w:rsidR="00C26604">
        <w:fldChar w:fldCharType="end"/>
      </w:r>
      <w:r>
        <w:t>.</w:t>
      </w:r>
      <w:r w:rsidR="00887C08">
        <w:t xml:space="preserve"> </w:t>
      </w:r>
      <w:r w:rsidR="00887C08" w:rsidRPr="00887C08">
        <w:t>Civic Participation specifically gauges the effectiveness of civic engagement mechanisms available to citizens within a particular country. This metric encompasses elements such as the freedom of opinion and expression, as well as the right to petition the government. Moreover, this variable provides a valuable assessment of the extent to which individuals can voice concerns on diverse governmental issues and whether these concerns are attentively considered by various institutional bodies.</w:t>
      </w:r>
    </w:p>
    <w:p w14:paraId="6C261614" w14:textId="77777777" w:rsidR="00313623" w:rsidRDefault="00313623" w:rsidP="00605CFF">
      <w:r w:rsidRPr="00313623">
        <w:t xml:space="preserve">Conversely, the Rule of Law serves as a pivotal metric in understanding the nuanced shifts within trade unions and their impact on societal dynamics. As a barometer of effective democratic governance, the Rule of Law's influence extends to fostering a more equitable society. A strong Rule of Law index often indicates an environment conducive to economic and social development, potentially influencing the strategies and outcomes of trade unions. </w:t>
      </w:r>
      <w:r w:rsidRPr="00313623">
        <w:lastRenderedPageBreak/>
        <w:t>Therefore, considering the Rule of Law as a confounding factor in analyzing trade union dynamics offers valuable insights into the broader socio-political landscape.</w:t>
      </w:r>
      <w:r>
        <w:t xml:space="preserve"> </w:t>
      </w:r>
    </w:p>
    <w:p w14:paraId="18D53644" w14:textId="0C29FD19" w:rsidR="00643F01" w:rsidRDefault="00082EAC" w:rsidP="00605CFF">
      <w:r>
        <w:t>Labour</w:t>
      </w:r>
      <w:r w:rsidR="00643F01">
        <w:t xml:space="preserve"> unions have long been at the forefront of pushing democratic frontiers forward, championing not just </w:t>
      </w:r>
      <w:r>
        <w:t>labour</w:t>
      </w:r>
      <w:r w:rsidR="00643F01">
        <w:t xml:space="preserve"> rights but also broader democratic reforms. Their engagement has historically extended beyond the workplace, touching on pivotal issues such as voting rights and social welfare. In this sense, </w:t>
      </w:r>
      <w:r>
        <w:t>labour</w:t>
      </w:r>
      <w:r w:rsidR="00643F01">
        <w:t xml:space="preserve"> unions do not operate in isolation; they are deeply embedded in the fabric of civil society and are responsive to the quality of Democratic Governance. The efficacy of unions, therefore, can be profoundly influenced by the strength of democratic institutions and practices within a country.</w:t>
      </w:r>
    </w:p>
    <w:p w14:paraId="36FC31B6" w14:textId="77777777" w:rsidR="00313623" w:rsidRDefault="00313623" w:rsidP="00605CFF"/>
    <w:p w14:paraId="5CF2731F" w14:textId="33B85A62" w:rsidR="00643F01" w:rsidRPr="00643F01" w:rsidRDefault="00643F01" w:rsidP="00605CFF">
      <w:r>
        <w:t xml:space="preserve">As such, when evaluating </w:t>
      </w:r>
      <w:r w:rsidR="00082EAC">
        <w:t>labour</w:t>
      </w:r>
      <w:r>
        <w:t xml:space="preserve"> unions' contributions to economic conditions such as wage growth, income inequality, and the integration of women into the workforce, one cannot discount the context of Democratic Governance. It stands as both a foundation for and a product of vigorous </w:t>
      </w:r>
      <w:r w:rsidR="00082EAC">
        <w:t>labour</w:t>
      </w:r>
      <w:r>
        <w:t xml:space="preserve"> movements. Hence, it is an essential variable to consider when analyzing the complex interplay between </w:t>
      </w:r>
      <w:r w:rsidR="00082EAC">
        <w:t>labour</w:t>
      </w:r>
      <w:r>
        <w:t xml:space="preserve"> unions and </w:t>
      </w:r>
      <w:r w:rsidR="00082EAC">
        <w:t>socioeconomic</w:t>
      </w:r>
      <w:r>
        <w:t xml:space="preserve"> outcomes.</w:t>
      </w:r>
    </w:p>
    <w:p w14:paraId="5C375F0D" w14:textId="77777777" w:rsidR="00643F01" w:rsidRDefault="00643F01" w:rsidP="00605CFF">
      <w:pPr>
        <w:pStyle w:val="z-BottomofForm"/>
      </w:pPr>
      <w:r>
        <w:t>Bottom of Form</w:t>
      </w:r>
    </w:p>
    <w:p w14:paraId="340070FD" w14:textId="0168CEBD" w:rsidR="00B23D49" w:rsidRDefault="00F73358" w:rsidP="00605CFF">
      <w:r>
        <w:t xml:space="preserve">Since the dawn of industrial capitalism, </w:t>
      </w:r>
      <w:r w:rsidR="00082EAC">
        <w:t>labour</w:t>
      </w:r>
      <w:r>
        <w:t xml:space="preserve"> unions have constantly fought for major democratic reform agendas, such as the eight-hour day, universal suffrage, and social provision of welfare. And </w:t>
      </w:r>
      <w:r w:rsidR="00082EAC">
        <w:t>labour</w:t>
      </w:r>
      <w:r>
        <w:t xml:space="preserve"> unions are still the main agencies that advocate for the interests of the lower classes and the disadvantaged, those who are most vulnerable to increasingly fierce global market competitions and fluctuations. Given the critical roles of </w:t>
      </w:r>
      <w:r w:rsidR="00082EAC">
        <w:t>labour</w:t>
      </w:r>
      <w:r>
        <w:t xml:space="preserve"> unions in civil society and their historical contribution to the development of stable democracies, their significant role in accounting for the performance of government should not be </w:t>
      </w:r>
      <w:r w:rsidR="00B23D49">
        <w:t xml:space="preserve">left out from the model. </w:t>
      </w:r>
    </w:p>
    <w:p w14:paraId="55FB5E83" w14:textId="4E231C45" w:rsidR="00FD747B" w:rsidRDefault="00FD747B" w:rsidP="00605CFF">
      <w:r>
        <w:rPr>
          <w:noProof/>
        </w:rPr>
        <w:drawing>
          <wp:inline distT="0" distB="0" distL="0" distR="0" wp14:anchorId="7D226BF0" wp14:editId="487D0987">
            <wp:extent cx="5450027" cy="4208585"/>
            <wp:effectExtent l="0" t="0" r="0" b="0"/>
            <wp:docPr id="1693848662" name="Picture 1" descr="A diagram of a social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848662" name="Picture 1" descr="A diagram of a social network&#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73045" cy="4226360"/>
                    </a:xfrm>
                    <a:prstGeom prst="rect">
                      <a:avLst/>
                    </a:prstGeom>
                  </pic:spPr>
                </pic:pic>
              </a:graphicData>
            </a:graphic>
          </wp:inline>
        </w:drawing>
      </w:r>
    </w:p>
    <w:p w14:paraId="74BD51E4" w14:textId="1A2D46A1" w:rsidR="00A97352" w:rsidRDefault="00A97352" w:rsidP="00605CFF">
      <w:pPr>
        <w:pStyle w:val="Heading1"/>
      </w:pPr>
      <w:r w:rsidRPr="0033155B">
        <w:rPr>
          <w:highlight w:val="yellow"/>
        </w:rPr>
        <w:lastRenderedPageBreak/>
        <w:t>Model Selection</w:t>
      </w:r>
    </w:p>
    <w:p w14:paraId="5D6C38E7" w14:textId="77777777" w:rsidR="0058284B" w:rsidRDefault="0058284B" w:rsidP="00605CFF"/>
    <w:p w14:paraId="0498DA5E" w14:textId="77777777" w:rsidR="0058284B" w:rsidRDefault="0058284B" w:rsidP="00605CFF">
      <w:r w:rsidRPr="0058284B">
        <w:t>Th</w:t>
      </w:r>
      <w:r>
        <w:t>e</w:t>
      </w:r>
      <w:r w:rsidRPr="0058284B">
        <w:t xml:space="preserve"> research employs the fixed-effects model as the primary analytical tool to investigate the impact of trade union activity on income inequality across European countries. This methodological choice is particularly well-suited due to the inherent socio-economic heterogeneity present within the European Union. Unlike other approaches, the fixed-effects model excels at isolating the causal effect of trade union shifts by meticulously controlling for unobserved, country-specific factors. These unobserved factors, often referred to as fixed effects, encompass a wide range of enduring national characteristics that exert a significant and consistent influence on labor dynamics. Examples include established legal frameworks governing worker rights and collective bargaining, deeply ingrained cultural norms regarding work and social mobility, and historical patterns of industrial development. </w:t>
      </w:r>
    </w:p>
    <w:p w14:paraId="063856FE" w14:textId="77777777" w:rsidR="0058284B" w:rsidRDefault="0058284B" w:rsidP="00605CFF"/>
    <w:p w14:paraId="2B9BD986" w14:textId="0A28506F" w:rsidR="0058284B" w:rsidRPr="0058284B" w:rsidRDefault="0058284B" w:rsidP="00605CFF">
      <w:pPr>
        <w:rPr>
          <w:lang w:val="it-IT"/>
        </w:rPr>
      </w:pPr>
      <m:oMathPara>
        <m:oMath>
          <m:r>
            <w:rPr>
              <w:rFonts w:ascii="Cambria Math" w:hAnsi="Cambria Math"/>
              <w:lang w:val="en-GB"/>
            </w:rPr>
            <m:t>Gini</m:t>
          </m:r>
          <m:r>
            <m:rPr>
              <m:sty m:val="p"/>
            </m:rPr>
            <w:rPr>
              <w:rFonts w:ascii="Cambria Math" w:hAnsi="Cambria Math"/>
              <w:lang w:val="en-GB"/>
            </w:rPr>
            <m:t xml:space="preserve"> </m:t>
          </m:r>
          <m:r>
            <w:rPr>
              <w:rFonts w:ascii="Cambria Math" w:hAnsi="Cambria Math"/>
              <w:lang w:val="en-GB"/>
            </w:rPr>
            <m:t>Inde</m:t>
          </m:r>
          <m:sSub>
            <m:sSubPr>
              <m:ctrlPr>
                <w:rPr>
                  <w:rFonts w:ascii="Cambria Math" w:hAnsi="Cambria Math"/>
                  <w:lang w:val="en-GB"/>
                </w:rPr>
              </m:ctrlPr>
            </m:sSubPr>
            <m:e>
              <m:r>
                <w:rPr>
                  <w:rFonts w:ascii="Cambria Math" w:hAnsi="Cambria Math"/>
                  <w:lang w:val="en-GB"/>
                </w:rPr>
                <m:t>x</m:t>
              </m:r>
            </m:e>
            <m:sub>
              <m:r>
                <w:rPr>
                  <w:rFonts w:ascii="Cambria Math" w:hAnsi="Cambria Math"/>
                  <w:vertAlign w:val="subscript"/>
                  <w:lang w:val="en-GB"/>
                </w:rPr>
                <m:t>it</m:t>
              </m:r>
            </m:sub>
          </m:sSub>
          <m:r>
            <m:rPr>
              <m:sty m:val="p"/>
            </m:rPr>
            <w:rPr>
              <w:rFonts w:ascii="Cambria Math" w:hAnsi="Cambria Math"/>
              <w:lang w:val="en-GB"/>
            </w:rPr>
            <m:t>=</m:t>
          </m:r>
          <m:r>
            <w:rPr>
              <w:rFonts w:ascii="Cambria Math" w:hAnsi="Cambria Math"/>
              <w:lang w:val="el-GR"/>
            </w:rPr>
            <m:t>α</m:t>
          </m:r>
          <m:r>
            <m:rPr>
              <m:sty m:val="p"/>
            </m:rPr>
            <w:rPr>
              <w:rFonts w:ascii="Cambria Math" w:hAnsi="Cambria Math"/>
              <w:lang w:val="el-GR"/>
            </w:rPr>
            <m:t>+</m:t>
          </m:r>
          <m:sSub>
            <m:sSubPr>
              <m:ctrlPr>
                <w:rPr>
                  <w:rFonts w:ascii="Cambria Math" w:hAnsi="Cambria Math"/>
                  <w:lang w:val="el-GR"/>
                </w:rPr>
              </m:ctrlPr>
            </m:sSubPr>
            <m:e>
              <m:r>
                <w:rPr>
                  <w:rFonts w:ascii="Cambria Math" w:hAnsi="Cambria Math"/>
                  <w:lang w:val="el-GR"/>
                </w:rPr>
                <m:t>β</m:t>
              </m:r>
            </m:e>
            <m:sub>
              <m:r>
                <m:rPr>
                  <m:sty m:val="p"/>
                </m:rPr>
                <w:rPr>
                  <w:rFonts w:ascii="Cambria Math" w:hAnsi="Cambria Math"/>
                  <w:lang w:val="it-IT"/>
                </w:rPr>
                <m:t>1</m:t>
              </m:r>
            </m:sub>
          </m:sSub>
          <m:r>
            <m:rPr>
              <m:sty m:val="p"/>
            </m:rPr>
            <w:rPr>
              <w:rFonts w:ascii="Cambria Math" w:hAnsi="Cambria Math"/>
              <w:lang w:val="el-GR"/>
            </w:rPr>
            <m:t>×</m:t>
          </m:r>
          <m:r>
            <w:rPr>
              <w:rFonts w:ascii="Cambria Math" w:hAnsi="Cambria Math"/>
              <w:lang w:val="en-GB"/>
            </w:rPr>
            <m:t>bargai</m:t>
          </m:r>
          <m:sSub>
            <m:sSubPr>
              <m:ctrlPr>
                <w:rPr>
                  <w:rFonts w:ascii="Cambria Math" w:hAnsi="Cambria Math"/>
                  <w:lang w:val="en-GB"/>
                </w:rPr>
              </m:ctrlPr>
            </m:sSubPr>
            <m:e>
              <m:r>
                <w:rPr>
                  <w:rFonts w:ascii="Cambria Math" w:hAnsi="Cambria Math"/>
                  <w:lang w:val="en-GB"/>
                </w:rPr>
                <m:t>n</m:t>
              </m:r>
            </m:e>
            <m:sub>
              <m:r>
                <w:rPr>
                  <w:rFonts w:ascii="Cambria Math" w:hAnsi="Cambria Math"/>
                  <w:lang w:val="en-GB"/>
                </w:rPr>
                <m:t>it</m:t>
              </m:r>
            </m:sub>
          </m:sSub>
          <m:r>
            <m:rPr>
              <m:sty m:val="p"/>
            </m:rPr>
            <w:rPr>
              <w:rFonts w:ascii="Cambria Math" w:hAnsi="Cambria Math"/>
              <w:lang w:val="en-GB"/>
            </w:rPr>
            <m:t>+</m:t>
          </m:r>
          <m:sSub>
            <m:sSubPr>
              <m:ctrlPr>
                <w:rPr>
                  <w:rFonts w:ascii="Cambria Math" w:hAnsi="Cambria Math"/>
                  <w:lang w:val="el-GR"/>
                </w:rPr>
              </m:ctrlPr>
            </m:sSubPr>
            <m:e>
              <m:r>
                <w:rPr>
                  <w:rFonts w:ascii="Cambria Math" w:hAnsi="Cambria Math"/>
                  <w:lang w:val="el-GR"/>
                </w:rPr>
                <m:t>β</m:t>
              </m:r>
              <m:ctrlPr>
                <w:rPr>
                  <w:rFonts w:ascii="Cambria Math" w:hAnsi="Cambria Math"/>
                  <w:lang w:val="en-GB"/>
                </w:rPr>
              </m:ctrlPr>
            </m:e>
            <m:sub>
              <m:r>
                <m:rPr>
                  <m:sty m:val="p"/>
                </m:rPr>
                <w:rPr>
                  <w:rFonts w:ascii="Cambria Math" w:hAnsi="Cambria Math"/>
                  <w:vertAlign w:val="subscript"/>
                  <w:lang w:val="el-GR"/>
                </w:rPr>
                <m:t>2</m:t>
              </m:r>
            </m:sub>
          </m:sSub>
          <m:r>
            <m:rPr>
              <m:sty m:val="p"/>
            </m:rPr>
            <w:rPr>
              <w:rFonts w:ascii="Cambria Math" w:hAnsi="Cambria Math"/>
              <w:lang w:val="el-GR"/>
            </w:rPr>
            <m:t>×</m:t>
          </m:r>
          <m:sSub>
            <m:sSubPr>
              <m:ctrlPr>
                <w:rPr>
                  <w:rFonts w:ascii="Cambria Math" w:hAnsi="Cambria Math"/>
                  <w:lang w:val="en-GB"/>
                </w:rPr>
              </m:ctrlPr>
            </m:sSubPr>
            <m:e>
              <m:r>
                <w:rPr>
                  <w:rFonts w:ascii="Cambria Math" w:hAnsi="Cambria Math"/>
                  <w:lang w:val="en-GB"/>
                </w:rPr>
                <m:t>X</m:t>
              </m:r>
              <m:ctrlPr>
                <w:rPr>
                  <w:rFonts w:ascii="Cambria Math" w:hAnsi="Cambria Math"/>
                  <w:lang w:val="el-GR"/>
                </w:rPr>
              </m:ctrlPr>
            </m:e>
            <m:sub>
              <m:r>
                <w:rPr>
                  <w:rFonts w:ascii="Cambria Math" w:hAnsi="Cambria Math"/>
                  <w:vertAlign w:val="subscript"/>
                  <w:lang w:val="en-GB"/>
                </w:rPr>
                <m:t>it</m:t>
              </m:r>
            </m:sub>
          </m:sSub>
          <m:r>
            <m:rPr>
              <m:sty m:val="p"/>
            </m:rPr>
            <w:rPr>
              <w:rFonts w:ascii="Cambria Math" w:hAnsi="Cambria Math"/>
              <w:lang w:val="en-GB"/>
            </w:rPr>
            <m:t>+ ... +</m:t>
          </m:r>
          <m:sSub>
            <m:sSubPr>
              <m:ctrlPr>
                <w:rPr>
                  <w:rFonts w:ascii="Cambria Math" w:hAnsi="Cambria Math"/>
                  <w:lang w:val="el-GR"/>
                </w:rPr>
              </m:ctrlPr>
            </m:sSubPr>
            <m:e>
              <m:r>
                <w:rPr>
                  <w:rFonts w:ascii="Cambria Math" w:hAnsi="Cambria Math"/>
                  <w:lang w:val="el-GR"/>
                </w:rPr>
                <m:t>μ</m:t>
              </m:r>
              <m:ctrlPr>
                <w:rPr>
                  <w:rFonts w:ascii="Cambria Math" w:hAnsi="Cambria Math"/>
                  <w:lang w:val="en-GB"/>
                </w:rPr>
              </m:ctrlPr>
            </m:e>
            <m:sub>
              <m:r>
                <w:rPr>
                  <w:rFonts w:ascii="Cambria Math" w:hAnsi="Cambria Math"/>
                  <w:vertAlign w:val="subscript"/>
                  <w:lang w:val="en-GB"/>
                </w:rPr>
                <m:t>i</m:t>
              </m:r>
            </m:sub>
          </m:sSub>
          <m:r>
            <m:rPr>
              <m:sty m:val="p"/>
            </m:rPr>
            <w:rPr>
              <w:rFonts w:ascii="Cambria Math" w:hAnsi="Cambria Math"/>
              <w:lang w:val="en-GB"/>
            </w:rPr>
            <m:t>+</m:t>
          </m:r>
          <m:sSub>
            <m:sSubPr>
              <m:ctrlPr>
                <w:rPr>
                  <w:rFonts w:ascii="Cambria Math" w:hAnsi="Cambria Math"/>
                  <w:lang w:val="el-GR"/>
                </w:rPr>
              </m:ctrlPr>
            </m:sSubPr>
            <m:e>
              <m:r>
                <w:rPr>
                  <w:rFonts w:ascii="Cambria Math" w:hAnsi="Cambria Math"/>
                  <w:lang w:val="el-GR"/>
                </w:rPr>
                <m:t>λ</m:t>
              </m:r>
              <m:ctrlPr>
                <w:rPr>
                  <w:rFonts w:ascii="Cambria Math" w:hAnsi="Cambria Math"/>
                  <w:lang w:val="en-GB"/>
                </w:rPr>
              </m:ctrlPr>
            </m:e>
            <m:sub>
              <m:r>
                <w:rPr>
                  <w:rFonts w:ascii="Cambria Math" w:hAnsi="Cambria Math"/>
                  <w:vertAlign w:val="subscript"/>
                  <w:lang w:val="en-GB"/>
                </w:rPr>
                <m:t>t</m:t>
              </m:r>
            </m:sub>
          </m:sSub>
          <m:r>
            <m:rPr>
              <m:sty m:val="p"/>
            </m:rPr>
            <w:rPr>
              <w:rFonts w:ascii="Cambria Math" w:hAnsi="Cambria Math"/>
              <w:lang w:val="en-GB"/>
            </w:rPr>
            <m:t>+</m:t>
          </m:r>
          <m:sSub>
            <m:sSubPr>
              <m:ctrlPr>
                <w:rPr>
                  <w:rFonts w:ascii="Cambria Math" w:hAnsi="Cambria Math"/>
                  <w:lang w:val="el-GR"/>
                </w:rPr>
              </m:ctrlPr>
            </m:sSubPr>
            <m:e>
              <m:r>
                <w:rPr>
                  <w:rFonts w:ascii="Cambria Math" w:hAnsi="Cambria Math"/>
                  <w:lang w:val="el-GR"/>
                </w:rPr>
                <m:t>ϵ</m:t>
              </m:r>
              <m:ctrlPr>
                <w:rPr>
                  <w:rFonts w:ascii="Cambria Math" w:hAnsi="Cambria Math"/>
                  <w:lang w:val="en-GB"/>
                </w:rPr>
              </m:ctrlPr>
            </m:e>
            <m:sub>
              <m:r>
                <w:rPr>
                  <w:rFonts w:ascii="Cambria Math" w:hAnsi="Cambria Math"/>
                  <w:vertAlign w:val="subscript"/>
                  <w:lang w:val="en-GB"/>
                </w:rPr>
                <m:t>it</m:t>
              </m:r>
            </m:sub>
          </m:sSub>
        </m:oMath>
      </m:oMathPara>
    </w:p>
    <w:p w14:paraId="45BCD077" w14:textId="77777777" w:rsidR="0058284B" w:rsidRPr="0058284B" w:rsidRDefault="0058284B" w:rsidP="00605CFF">
      <w:pPr>
        <w:rPr>
          <w:lang w:val="it-IT"/>
        </w:rPr>
      </w:pPr>
    </w:p>
    <w:p w14:paraId="125309C2" w14:textId="3A6E1156" w:rsidR="0058284B" w:rsidRDefault="0058284B" w:rsidP="00605CFF">
      <w:r w:rsidRPr="0058284B">
        <w:t>While these features remain relatively constant within a single country over time, they exhibit significant variation across the diverse landscape of the European Union. The fixed-effects model effectively disentangles the intrinsic impact of trade union activities from the confounding influence of these immutable national traits. This approach allows for a more nuanced understanding of the relationship between trade unionism and income inequality. Furthermore, the application of the fixed-effects model is particularly adept at capturing the incremental yet meaningful changes that occur within individual countries over time. It allows for illumination of how trade unions affect income distribution within the intricate interplay of country-specific factors. This focus on within-country variation distinguishes this analysis from studies that rely on cross-sectional approaches, which may be susceptible to biases arising from pre-existing national differences. This methodological commitment to the fixed-effects model underscores a rigorous approach aimed at discerning subtle patterns in the data. By meticulously controlling for fixed effects, the analysis strives to extract causally interpretable inferences that reflect the genuine power of trade union action in influencing income distribution across the multifaceted economic terrain of the European Union.</w:t>
      </w:r>
    </w:p>
    <w:p w14:paraId="5CE65411" w14:textId="77777777" w:rsidR="00526FD6" w:rsidRDefault="00526FD6" w:rsidP="00605CFF"/>
    <w:p w14:paraId="68B4E54D" w14:textId="77777777" w:rsidR="00BF410D" w:rsidRDefault="00BF410D" w:rsidP="00605CFF">
      <w:r>
        <w:t xml:space="preserve">Before proceding with the creation of the models, one main factor had to be taken in consideration: multicollinearity. This situation creates when the X’ X matrix </w:t>
      </w:r>
      <w:r w:rsidR="00526FD6">
        <w:t xml:space="preserve">is near singular, when the columns of X are close to linearly dependent. One potential complication, that might arise, of near singularity of matrices is that the numerical realibility of calculation may be reduced. </w:t>
      </w:r>
    </w:p>
    <w:p w14:paraId="51767F2A" w14:textId="77777777" w:rsidR="00D45E28" w:rsidRDefault="00D45E28" w:rsidP="00605CFF"/>
    <w:p w14:paraId="7AB19FDD" w14:textId="77777777" w:rsidR="00D45E28" w:rsidRDefault="00D45E28" w:rsidP="00605CFF"/>
    <w:p w14:paraId="6B94F115" w14:textId="77777777" w:rsidR="00D45E28" w:rsidRDefault="00D45E28" w:rsidP="00605CFF"/>
    <w:p w14:paraId="12A8843B" w14:textId="77777777" w:rsidR="00D45E28" w:rsidRDefault="00D45E28" w:rsidP="00605CFF"/>
    <w:p w14:paraId="2F932A35" w14:textId="77777777" w:rsidR="00D45E28" w:rsidRDefault="00D45E28" w:rsidP="00605CFF"/>
    <w:p w14:paraId="732884BF" w14:textId="65437A3A" w:rsidR="00526FD6" w:rsidRDefault="00526FD6" w:rsidP="00605CFF">
      <w:r>
        <w:lastRenderedPageBreak/>
        <w:t xml:space="preserve">This might be the case since the number of regressor is large. Another issue that arises with multicollinearity is that individual coefficient esitimates may be imprecise. </w:t>
      </w:r>
    </w:p>
    <w:p w14:paraId="77AFF348" w14:textId="77777777" w:rsidR="00BF410D" w:rsidRDefault="00BF410D" w:rsidP="00605CFF"/>
    <w:p w14:paraId="39F0134B" w14:textId="128E9263" w:rsidR="00BF410D" w:rsidRPr="00BF410D" w:rsidRDefault="00000000" w:rsidP="00605CFF">
      <m:oMathPara>
        <m:oMath>
          <m:f>
            <m:fPr>
              <m:ctrlPr>
                <w:rPr>
                  <w:rFonts w:ascii="Cambria Math" w:hAnsi="Cambria Math"/>
                </w:rPr>
              </m:ctrlPr>
            </m:fPr>
            <m:num>
              <m:r>
                <m:rPr>
                  <m:sty m:val="p"/>
                </m:rPr>
                <w:rPr>
                  <w:rFonts w:ascii="Cambria Math" w:hAnsi="Cambria Math"/>
                </w:rPr>
                <m:t>1</m:t>
              </m:r>
            </m:num>
            <m:den>
              <m:r>
                <w:rPr>
                  <w:rFonts w:ascii="Cambria Math" w:hAnsi="Cambria Math"/>
                </w:rPr>
                <m:t>n</m:t>
              </m:r>
            </m:den>
          </m:f>
          <m:r>
            <m:rPr>
              <m:sty m:val="p"/>
            </m:rPr>
            <w:rPr>
              <w:rFonts w:ascii="Cambria Math" w:hAnsi="Cambria Math"/>
            </w:rPr>
            <m:t xml:space="preserve"> </m:t>
          </m:r>
          <m:sSup>
            <m:sSupPr>
              <m:ctrlPr>
                <w:rPr>
                  <w:rFonts w:ascii="Cambria Math" w:hAnsi="Cambria Math"/>
                </w:rPr>
              </m:ctrlPr>
            </m:sSupPr>
            <m:e>
              <m:r>
                <w:rPr>
                  <w:rFonts w:ascii="Cambria Math" w:hAnsi="Cambria Math"/>
                </w:rPr>
                <m:t>X</m:t>
              </m:r>
            </m:e>
            <m:sup>
              <m:r>
                <m:rPr>
                  <m:sty m:val="p"/>
                </m:rPr>
                <w:rPr>
                  <w:rFonts w:ascii="Cambria Math" w:hAnsi="Cambria Math"/>
                </w:rPr>
                <m:t>'</m:t>
              </m:r>
            </m:sup>
          </m:sSup>
          <m:r>
            <w:rPr>
              <w:rFonts w:ascii="Cambria Math" w:hAnsi="Cambria Math"/>
            </w:rPr>
            <m:t>X</m:t>
          </m:r>
          <m:r>
            <m:rPr>
              <m:sty m:val="p"/>
            </m:rPr>
            <w:rPr>
              <w:rFonts w:ascii="Cambria Math" w:hAnsi="Cambria Math"/>
            </w:rPr>
            <m:t>=</m:t>
          </m:r>
          <m:d>
            <m:dPr>
              <m:ctrlPr>
                <w:rPr>
                  <w:rFonts w:ascii="Cambria Math" w:hAnsi="Cambria Math"/>
                </w:rPr>
              </m:ctrlPr>
            </m:dPr>
            <m:e>
              <m:m>
                <m:mPr>
                  <m:mcs>
                    <m:mc>
                      <m:mcPr>
                        <m:count m:val="2"/>
                        <m:mcJc m:val="center"/>
                      </m:mcPr>
                    </m:mc>
                  </m:mcs>
                  <m:ctrlPr>
                    <w:rPr>
                      <w:rFonts w:ascii="Cambria Math" w:hAnsi="Cambria Math"/>
                    </w:rPr>
                  </m:ctrlPr>
                </m:mPr>
                <m:mr>
                  <m:e>
                    <m:r>
                      <m:rPr>
                        <m:sty m:val="p"/>
                      </m:rPr>
                      <w:rPr>
                        <w:rFonts w:ascii="Cambria Math" w:hAnsi="Cambria Math"/>
                      </w:rPr>
                      <m:t>1</m:t>
                    </m:r>
                  </m:e>
                  <m:e>
                    <m:r>
                      <w:rPr>
                        <w:rFonts w:ascii="Cambria Math" w:hAnsi="Cambria Math"/>
                      </w:rPr>
                      <m:t>ρ</m:t>
                    </m:r>
                  </m:e>
                </m:mr>
                <m:mr>
                  <m:e>
                    <m:r>
                      <w:rPr>
                        <w:rFonts w:ascii="Cambria Math" w:hAnsi="Cambria Math"/>
                      </w:rPr>
                      <m:t>ρ</m:t>
                    </m:r>
                  </m:e>
                  <m:e>
                    <m:r>
                      <m:rPr>
                        <m:sty m:val="p"/>
                      </m:rPr>
                      <w:rPr>
                        <w:rFonts w:ascii="Cambria Math" w:hAnsi="Cambria Math"/>
                      </w:rPr>
                      <m:t>1</m:t>
                    </m:r>
                  </m:e>
                </m:mr>
              </m:m>
            </m:e>
          </m:d>
        </m:oMath>
      </m:oMathPara>
    </w:p>
    <w:p w14:paraId="3B7813E7" w14:textId="77777777" w:rsidR="00815CFD" w:rsidRDefault="00815CFD" w:rsidP="00605CFF"/>
    <w:p w14:paraId="2ED5C98D" w14:textId="746AACE7" w:rsidR="00BF410D" w:rsidRDefault="00BF410D" w:rsidP="00605CFF">
      <w:r>
        <w:t xml:space="preserve">And </w:t>
      </w:r>
    </w:p>
    <w:p w14:paraId="09B69D4B" w14:textId="77777777" w:rsidR="00815CFD" w:rsidRPr="00815CFD" w:rsidRDefault="00815CFD" w:rsidP="00605CFF">
      <w:pPr>
        <w:rPr>
          <w:iCs/>
        </w:rPr>
      </w:pPr>
    </w:p>
    <w:p w14:paraId="233CF6BA" w14:textId="08A053AC" w:rsidR="00BF410D" w:rsidRPr="00BF410D" w:rsidRDefault="00BF410D" w:rsidP="00605CFF">
      <m:oMathPara>
        <m:oMath>
          <m:r>
            <w:rPr>
              <w:rFonts w:ascii="Cambria Math" w:hAnsi="Cambria Math"/>
            </w:rPr>
            <m:t>var</m:t>
          </m:r>
          <m:d>
            <m:dPr>
              <m:ctrlPr>
                <w:rPr>
                  <w:rFonts w:ascii="Cambria Math" w:hAnsi="Cambria Math"/>
                </w:rPr>
              </m:ctrlPr>
            </m:dPr>
            <m:e>
              <m:r>
                <w:rPr>
                  <w:rFonts w:ascii="Cambria Math" w:hAnsi="Cambria Math"/>
                </w:rPr>
                <m:t>β</m:t>
              </m:r>
              <m:r>
                <m:rPr>
                  <m:sty m:val="p"/>
                </m:rPr>
                <w:rPr>
                  <w:rFonts w:ascii="Cambria Math" w:hAnsi="Cambria Math"/>
                </w:rPr>
                <m:t xml:space="preserve"> </m:t>
              </m:r>
            </m:e>
            <m:e>
              <m:r>
                <w:rPr>
                  <w:rFonts w:ascii="Cambria Math" w:hAnsi="Cambria Math"/>
                </w:rPr>
                <m:t>X</m:t>
              </m:r>
              <m:r>
                <m:rPr>
                  <m:sty m:val="p"/>
                </m:rPr>
                <w:rPr>
                  <w:rFonts w:ascii="Cambria Math" w:hAnsi="Cambria Math"/>
                </w:rPr>
                <m:t xml:space="preserve"> </m:t>
              </m:r>
            </m:e>
          </m:d>
          <m:r>
            <m:rPr>
              <m:sty m:val="p"/>
            </m:rPr>
            <w:rPr>
              <w:rFonts w:ascii="Cambria Math" w:hAnsi="Cambria Math"/>
            </w:rPr>
            <m:t xml:space="preserve">= </m:t>
          </m:r>
          <m:f>
            <m:fPr>
              <m:ctrlPr>
                <w:rPr>
                  <w:rFonts w:ascii="Cambria Math" w:hAnsi="Cambria Math"/>
                </w:rPr>
              </m:ctrlPr>
            </m:fPr>
            <m:num>
              <m:sSup>
                <m:sSupPr>
                  <m:ctrlPr>
                    <w:rPr>
                      <w:rFonts w:ascii="Cambria Math" w:hAnsi="Cambria Math"/>
                    </w:rPr>
                  </m:ctrlPr>
                </m:sSupPr>
                <m:e>
                  <m:r>
                    <w:rPr>
                      <w:rFonts w:ascii="Cambria Math" w:hAnsi="Cambria Math"/>
                    </w:rPr>
                    <m:t>σ</m:t>
                  </m:r>
                </m:e>
                <m:sup>
                  <m:r>
                    <m:rPr>
                      <m:sty m:val="p"/>
                    </m:rPr>
                    <w:rPr>
                      <w:rFonts w:ascii="Cambria Math" w:hAnsi="Cambria Math"/>
                    </w:rPr>
                    <m:t>2</m:t>
                  </m:r>
                </m:sup>
              </m:sSup>
            </m:num>
            <m:den>
              <m:r>
                <w:rPr>
                  <w:rFonts w:ascii="Cambria Math" w:hAnsi="Cambria Math"/>
                </w:rPr>
                <m:t>n</m:t>
              </m:r>
            </m:den>
          </m:f>
          <m:sSup>
            <m:sSupPr>
              <m:ctrlPr>
                <w:rPr>
                  <w:rFonts w:ascii="Cambria Math" w:hAnsi="Cambria Math"/>
                </w:rPr>
              </m:ctrlPr>
            </m:sSupPr>
            <m:e>
              <m:r>
                <m:rPr>
                  <m:sty m:val="p"/>
                </m:rPr>
                <w:rPr>
                  <w:rFonts w:ascii="Cambria Math" w:hAnsi="Cambria Math"/>
                </w:rPr>
                <m:t xml:space="preserve"> </m:t>
              </m:r>
              <m:d>
                <m:dPr>
                  <m:ctrlPr>
                    <w:rPr>
                      <w:rFonts w:ascii="Cambria Math" w:hAnsi="Cambria Math"/>
                    </w:rPr>
                  </m:ctrlPr>
                </m:dPr>
                <m:e>
                  <m:m>
                    <m:mPr>
                      <m:mcs>
                        <m:mc>
                          <m:mcPr>
                            <m:count m:val="2"/>
                            <m:mcJc m:val="center"/>
                          </m:mcPr>
                        </m:mc>
                      </m:mcs>
                      <m:ctrlPr>
                        <w:rPr>
                          <w:rFonts w:ascii="Cambria Math" w:hAnsi="Cambria Math"/>
                        </w:rPr>
                      </m:ctrlPr>
                    </m:mPr>
                    <m:mr>
                      <m:e>
                        <m:r>
                          <m:rPr>
                            <m:sty m:val="p"/>
                          </m:rPr>
                          <w:rPr>
                            <w:rFonts w:ascii="Cambria Math" w:hAnsi="Cambria Math"/>
                          </w:rPr>
                          <m:t>1</m:t>
                        </m:r>
                      </m:e>
                      <m:e>
                        <m:r>
                          <w:rPr>
                            <w:rFonts w:ascii="Cambria Math" w:hAnsi="Cambria Math"/>
                          </w:rPr>
                          <m:t>ρ</m:t>
                        </m:r>
                      </m:e>
                    </m:mr>
                    <m:mr>
                      <m:e>
                        <m:r>
                          <w:rPr>
                            <w:rFonts w:ascii="Cambria Math" w:hAnsi="Cambria Math"/>
                          </w:rPr>
                          <m:t>ρ</m:t>
                        </m:r>
                      </m:e>
                      <m:e>
                        <m:r>
                          <m:rPr>
                            <m:sty m:val="p"/>
                          </m:rPr>
                          <w:rPr>
                            <w:rFonts w:ascii="Cambria Math" w:hAnsi="Cambria Math"/>
                          </w:rPr>
                          <m:t>1</m:t>
                        </m:r>
                      </m:e>
                    </m:mr>
                  </m:m>
                </m:e>
              </m:d>
            </m:e>
            <m:sup>
              <m:r>
                <m:rPr>
                  <m:sty m:val="p"/>
                </m:rPr>
                <w:rPr>
                  <w:rFonts w:ascii="Cambria Math" w:hAnsi="Cambria Math"/>
                </w:rPr>
                <m:t>-1</m:t>
              </m:r>
            </m:sup>
          </m:sSup>
          <m:r>
            <m:rPr>
              <m:sty m:val="p"/>
            </m:rPr>
            <w:rPr>
              <w:rFonts w:ascii="Cambria Math" w:hAnsi="Cambria Math"/>
            </w:rPr>
            <m:t xml:space="preserve">= </m:t>
          </m:r>
          <m:f>
            <m:fPr>
              <m:ctrlPr>
                <w:rPr>
                  <w:rFonts w:ascii="Cambria Math" w:hAnsi="Cambria Math"/>
                </w:rPr>
              </m:ctrlPr>
            </m:fPr>
            <m:num>
              <m:sSup>
                <m:sSupPr>
                  <m:ctrlPr>
                    <w:rPr>
                      <w:rFonts w:ascii="Cambria Math" w:hAnsi="Cambria Math"/>
                    </w:rPr>
                  </m:ctrlPr>
                </m:sSupPr>
                <m:e>
                  <m:r>
                    <w:rPr>
                      <w:rFonts w:ascii="Cambria Math" w:hAnsi="Cambria Math"/>
                    </w:rPr>
                    <m:t>σ</m:t>
                  </m:r>
                </m:e>
                <m:sup>
                  <m:r>
                    <m:rPr>
                      <m:sty m:val="p"/>
                    </m:rPr>
                    <w:rPr>
                      <w:rFonts w:ascii="Cambria Math" w:hAnsi="Cambria Math"/>
                    </w:rPr>
                    <m:t>2</m:t>
                  </m:r>
                </m:sup>
              </m:sSup>
            </m:num>
            <m:den>
              <m:r>
                <w:rPr>
                  <w:rFonts w:ascii="Cambria Math" w:hAnsi="Cambria Math"/>
                </w:rPr>
                <m:t>n</m:t>
              </m:r>
              <m:d>
                <m:dPr>
                  <m:ctrlPr>
                    <w:rPr>
                      <w:rFonts w:ascii="Cambria Math" w:hAnsi="Cambria Math"/>
                    </w:rPr>
                  </m:ctrlPr>
                </m:dPr>
                <m:e>
                  <m:r>
                    <m:rPr>
                      <m:sty m:val="p"/>
                    </m:rPr>
                    <w:rPr>
                      <w:rFonts w:ascii="Cambria Math" w:hAnsi="Cambria Math"/>
                    </w:rPr>
                    <m:t>1-</m:t>
                  </m:r>
                  <m:sSup>
                    <m:sSupPr>
                      <m:ctrlPr>
                        <w:rPr>
                          <w:rFonts w:ascii="Cambria Math" w:hAnsi="Cambria Math"/>
                        </w:rPr>
                      </m:ctrlPr>
                    </m:sSupPr>
                    <m:e>
                      <m:r>
                        <w:rPr>
                          <w:rFonts w:ascii="Cambria Math" w:hAnsi="Cambria Math"/>
                        </w:rPr>
                        <m:t>ρ</m:t>
                      </m:r>
                    </m:e>
                    <m:sup>
                      <m:r>
                        <m:rPr>
                          <m:sty m:val="p"/>
                        </m:rPr>
                        <w:rPr>
                          <w:rFonts w:ascii="Cambria Math" w:hAnsi="Cambria Math"/>
                        </w:rPr>
                        <m:t>2</m:t>
                      </m:r>
                    </m:sup>
                  </m:sSup>
                </m:e>
              </m:d>
            </m:den>
          </m:f>
          <m:r>
            <m:rPr>
              <m:sty m:val="p"/>
            </m:rPr>
            <w:rPr>
              <w:rFonts w:ascii="Cambria Math" w:hAnsi="Cambria Math"/>
            </w:rPr>
            <m:t xml:space="preserve">  </m:t>
          </m:r>
          <m:d>
            <m:dPr>
              <m:ctrlPr>
                <w:rPr>
                  <w:rFonts w:ascii="Cambria Math" w:hAnsi="Cambria Math"/>
                </w:rPr>
              </m:ctrlPr>
            </m:dPr>
            <m:e>
              <m:m>
                <m:mPr>
                  <m:mcs>
                    <m:mc>
                      <m:mcPr>
                        <m:count m:val="2"/>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m:t>
                    </m:r>
                    <m:r>
                      <w:rPr>
                        <w:rFonts w:ascii="Cambria Math" w:hAnsi="Cambria Math"/>
                      </w:rPr>
                      <m:t>ρ</m:t>
                    </m:r>
                  </m:e>
                </m:mr>
                <m:mr>
                  <m:e>
                    <m:r>
                      <m:rPr>
                        <m:sty m:val="p"/>
                      </m:rPr>
                      <w:rPr>
                        <w:rFonts w:ascii="Cambria Math" w:hAnsi="Cambria Math"/>
                      </w:rPr>
                      <m:t>-</m:t>
                    </m:r>
                    <m:r>
                      <w:rPr>
                        <w:rFonts w:ascii="Cambria Math" w:hAnsi="Cambria Math"/>
                      </w:rPr>
                      <m:t>ρ</m:t>
                    </m:r>
                  </m:e>
                  <m:e>
                    <m:r>
                      <m:rPr>
                        <m:sty m:val="p"/>
                      </m:rPr>
                      <w:rPr>
                        <w:rFonts w:ascii="Cambria Math" w:hAnsi="Cambria Math"/>
                      </w:rPr>
                      <m:t>1</m:t>
                    </m:r>
                  </m:e>
                </m:mr>
              </m:m>
            </m:e>
          </m:d>
        </m:oMath>
      </m:oMathPara>
    </w:p>
    <w:p w14:paraId="44E15209" w14:textId="77777777" w:rsidR="00BF410D" w:rsidRDefault="00BF410D" w:rsidP="00605CFF"/>
    <w:p w14:paraId="27DD8532" w14:textId="131508CD" w:rsidR="00BF410D" w:rsidRDefault="00BF410D" w:rsidP="00605CFF">
      <w:r>
        <w:t xml:space="preserve">The correlation </w:t>
      </w:r>
      <m:oMath>
        <m:r>
          <w:rPr>
            <w:rFonts w:ascii="Cambria Math" w:hAnsi="Cambria Math"/>
          </w:rPr>
          <m:t>ρ</m:t>
        </m:r>
      </m:oMath>
      <w:r>
        <w:t xml:space="preserve"> indexes collinearity, since as </w:t>
      </w:r>
      <m:oMath>
        <m:r>
          <w:rPr>
            <w:rFonts w:ascii="Cambria Math" w:hAnsi="Cambria Math"/>
          </w:rPr>
          <m:t>ρ</m:t>
        </m:r>
      </m:oMath>
      <w:r>
        <w:t xml:space="preserve"> approaches 1 the matrix becomes singular.</w:t>
      </w:r>
    </w:p>
    <w:p w14:paraId="17827EF4" w14:textId="534FE751" w:rsidR="00526FD6" w:rsidRDefault="00BF410D" w:rsidP="00605CFF">
      <w:r>
        <w:t xml:space="preserve">For this reason two specific tests have been addressed: in primis, the Eigenvalue test and, following the VIF test </w:t>
      </w:r>
      <w:r w:rsidR="00526FD6">
        <w:t>in order to double check for any other issues.</w:t>
      </w:r>
    </w:p>
    <w:p w14:paraId="2E32F6AB" w14:textId="0070D210" w:rsidR="00D45E28" w:rsidRDefault="00D45E28" w:rsidP="00605CFF">
      <w:r>
        <w:t xml:space="preserve">The results showed that there is no trace of multicollinearity since all the values of the VIF are below the threshold (5). </w:t>
      </w:r>
    </w:p>
    <w:p w14:paraId="5BAAA1C8" w14:textId="77777777" w:rsidR="00D45E28" w:rsidRDefault="00D45E28" w:rsidP="00605CFF"/>
    <w:p w14:paraId="654E82F6" w14:textId="5403AA5C" w:rsidR="00526FD6" w:rsidRDefault="00526FD6" w:rsidP="00605CFF">
      <w:pPr>
        <w:pStyle w:val="Heading2"/>
      </w:pPr>
      <w:r>
        <w:t>Endogeneity</w:t>
      </w:r>
    </w:p>
    <w:p w14:paraId="33137181" w14:textId="62C16AFE" w:rsidR="00D45E28" w:rsidRDefault="00D45E28" w:rsidP="00605CFF">
      <w:r>
        <w:t>A second major issue which can raise is endogeneity. It can be identified, in the linear model, when</w:t>
      </w:r>
    </w:p>
    <w:p w14:paraId="354085E0" w14:textId="77777777" w:rsidR="007B749B" w:rsidRDefault="007B749B" w:rsidP="00605CFF"/>
    <w:p w14:paraId="79898240" w14:textId="6F1AAB62" w:rsidR="00D45E28" w:rsidRPr="007B749B" w:rsidRDefault="007B749B" w:rsidP="00605CFF">
      <m:oMathPara>
        <m:oMath>
          <m:r>
            <w:rPr>
              <w:rFonts w:ascii="Cambria Math" w:hAnsi="Cambria Math"/>
            </w:rPr>
            <m:t>Gini</m:t>
          </m:r>
          <m:r>
            <m:rPr>
              <m:sty m:val="p"/>
            </m:rPr>
            <w:rPr>
              <w:rFonts w:ascii="Cambria Math" w:hAnsi="Cambria Math"/>
            </w:rPr>
            <m:t xml:space="preserve"> </m:t>
          </m:r>
          <m:r>
            <w:rPr>
              <w:rFonts w:ascii="Cambria Math" w:hAnsi="Cambria Math"/>
            </w:rPr>
            <m:t>Index</m:t>
          </m:r>
          <m:r>
            <m:rPr>
              <m:sty m:val="p"/>
            </m:rPr>
            <w:rPr>
              <w:rFonts w:ascii="Cambria Math" w:hAnsi="Cambria Math"/>
            </w:rPr>
            <m:t>=</m:t>
          </m:r>
          <m:r>
            <w:rPr>
              <w:rFonts w:ascii="Cambria Math" w:hAnsi="Cambria Math"/>
            </w:rPr>
            <m:t>bargai</m:t>
          </m:r>
          <m:sSub>
            <m:sSubPr>
              <m:ctrlPr>
                <w:rPr>
                  <w:rFonts w:ascii="Cambria Math" w:hAnsi="Cambria Math"/>
                </w:rPr>
              </m:ctrlPr>
            </m:sSubPr>
            <m:e>
              <m:r>
                <w:rPr>
                  <w:rFonts w:ascii="Cambria Math" w:hAnsi="Cambria Math"/>
                </w:rPr>
                <m:t>n</m:t>
              </m:r>
            </m:e>
            <m:sub>
              <m:r>
                <w:rPr>
                  <w:rFonts w:ascii="Cambria Math" w:hAnsi="Cambria Math"/>
                </w:rPr>
                <m:t>i</m:t>
              </m:r>
            </m:sub>
          </m:sSub>
          <m:r>
            <m:rPr>
              <m:sty m:val="p"/>
            </m:rPr>
            <w:rPr>
              <w:rFonts w:ascii="Cambria Math" w:hAnsi="Cambria Math"/>
            </w:rPr>
            <m:t>×</m:t>
          </m:r>
          <m:r>
            <w:rPr>
              <w:rFonts w:ascii="Cambria Math" w:hAnsi="Cambria Math"/>
            </w:rPr>
            <m:t>β</m:t>
          </m:r>
          <m:r>
            <m:rPr>
              <m:sty m:val="p"/>
            </m:rP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i</m:t>
              </m:r>
            </m:sub>
          </m:sSub>
        </m:oMath>
      </m:oMathPara>
    </w:p>
    <w:p w14:paraId="11BF8273" w14:textId="77777777" w:rsidR="007B749B" w:rsidRPr="007B749B" w:rsidRDefault="007B749B" w:rsidP="00605CFF"/>
    <w:p w14:paraId="26A7E44D" w14:textId="6BF74725" w:rsidR="007B749B" w:rsidRDefault="007B749B" w:rsidP="00605CFF">
      <w:r>
        <w:t xml:space="preserve">If with </w:t>
      </w:r>
      <m:oMath>
        <m:r>
          <w:rPr>
            <w:rFonts w:ascii="Cambria Math" w:hAnsi="Cambria Math"/>
          </w:rPr>
          <m:t>β</m:t>
        </m:r>
      </m:oMath>
      <w:r>
        <w:t xml:space="preserve">, </w:t>
      </w:r>
      <m:oMath>
        <m:r>
          <m:rPr>
            <m:scr m:val="double-struck"/>
          </m:rP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ϵ</m:t>
                </m:r>
              </m:e>
              <m:sub>
                <m:r>
                  <w:rPr>
                    <w:rFonts w:ascii="Cambria Math" w:hAnsi="Cambria Math"/>
                  </w:rPr>
                  <m:t>i</m:t>
                </m:r>
              </m:sub>
            </m:sSub>
          </m:e>
        </m:d>
        <m:r>
          <w:rPr>
            <w:rFonts w:ascii="Cambria Math" w:hAnsi="Cambria Math"/>
          </w:rPr>
          <m:t>≠0</m:t>
        </m:r>
      </m:oMath>
      <w:r>
        <w:t xml:space="preserve">. Therefore </w:t>
      </w:r>
      <m:oMath>
        <m:r>
          <w:rPr>
            <w:rFonts w:ascii="Cambria Math" w:hAnsi="Cambria Math"/>
          </w:rPr>
          <m:t>β</m:t>
        </m:r>
      </m:oMath>
      <w:r>
        <w:t xml:space="preserve"> would nneed a structural interpretation because it is defined by a linear projection. In this case, to avoid the issue of endogeneity, an Instrumental Variable has been introducted. </w:t>
      </w:r>
    </w:p>
    <w:p w14:paraId="3DDEAEC5" w14:textId="77777777" w:rsidR="00526FD6" w:rsidRDefault="00526FD6" w:rsidP="00605CFF"/>
    <w:p w14:paraId="33F34D79" w14:textId="28407B2E" w:rsidR="009D4F26" w:rsidRDefault="009D4F26" w:rsidP="00605CFF">
      <w:r w:rsidRPr="009D4F26">
        <w:t xml:space="preserve">In </w:t>
      </w:r>
      <w:r w:rsidR="00621658">
        <w:t>the</w:t>
      </w:r>
      <w:r w:rsidRPr="009D4F26">
        <w:t xml:space="preserve"> instrumental variables (IV) analysis, </w:t>
      </w:r>
      <w:r w:rsidR="00621658">
        <w:t xml:space="preserve">the variable “bargain” </w:t>
      </w:r>
      <w:r w:rsidR="00082EAC">
        <w:t>was</w:t>
      </w:r>
      <w:r w:rsidRPr="009D4F26">
        <w:t xml:space="preserve"> initially identified as potentially endogenous </w:t>
      </w:r>
      <w:r w:rsidR="00082EAC">
        <w:t>concerning</w:t>
      </w:r>
      <w:r w:rsidRPr="009D4F26">
        <w:t xml:space="preserve"> </w:t>
      </w:r>
      <w:r w:rsidR="00082EAC">
        <w:t xml:space="preserve">the </w:t>
      </w:r>
      <w:r w:rsidR="00621658">
        <w:t>Gini Index</w:t>
      </w:r>
      <w:r w:rsidRPr="009D4F26">
        <w:t>, suggesting the need for an instrumental variable approach to obtain unbiased and consistent estimates.</w:t>
      </w:r>
      <w:r w:rsidR="00954D4E">
        <w:t xml:space="preserve"> </w:t>
      </w:r>
      <w:r w:rsidR="00954D4E" w:rsidRPr="009D4F26">
        <w:rPr>
          <w:rStyle w:val="HTMLCode"/>
          <w:rFonts w:ascii="Times New Roman" w:eastAsiaTheme="majorEastAsia" w:hAnsi="Times New Roman" w:cs="Times New Roman"/>
          <w:b/>
          <w:bCs/>
          <w:color w:val="0D0D0D"/>
          <w:sz w:val="21"/>
          <w:szCs w:val="21"/>
        </w:rPr>
        <w:t>D</w:t>
      </w:r>
      <w:r w:rsidRPr="009D4F26">
        <w:rPr>
          <w:rStyle w:val="HTMLCode"/>
          <w:rFonts w:ascii="Times New Roman" w:eastAsiaTheme="majorEastAsia" w:hAnsi="Times New Roman" w:cs="Times New Roman"/>
          <w:b/>
          <w:bCs/>
          <w:color w:val="0D0D0D"/>
          <w:sz w:val="21"/>
          <w:szCs w:val="21"/>
        </w:rPr>
        <w:t>emo</w:t>
      </w:r>
      <w:r w:rsidR="00954D4E">
        <w:rPr>
          <w:rStyle w:val="HTMLCode"/>
          <w:rFonts w:ascii="Times New Roman" w:eastAsiaTheme="majorEastAsia" w:hAnsi="Times New Roman" w:cs="Times New Roman"/>
          <w:b/>
          <w:bCs/>
          <w:color w:val="0D0D0D"/>
          <w:sz w:val="21"/>
          <w:szCs w:val="21"/>
        </w:rPr>
        <w:t xml:space="preserve"> </w:t>
      </w:r>
      <w:r w:rsidR="00954D4E" w:rsidRPr="00954D4E">
        <w:rPr>
          <w:rFonts w:eastAsiaTheme="majorEastAsia"/>
        </w:rPr>
        <w:t>has been selected</w:t>
      </w:r>
      <w:r w:rsidRPr="00954D4E">
        <w:t xml:space="preserve"> as</w:t>
      </w:r>
      <w:r w:rsidRPr="009D4F26">
        <w:t xml:space="preserve"> </w:t>
      </w:r>
      <w:r w:rsidR="00954D4E">
        <w:t xml:space="preserve">an </w:t>
      </w:r>
      <w:r w:rsidRPr="009D4F26">
        <w:t xml:space="preserve">instrument, hypothesizing that it affects </w:t>
      </w:r>
      <w:r w:rsidR="00082EAC">
        <w:t xml:space="preserve">the </w:t>
      </w:r>
      <w:r w:rsidR="00012222">
        <w:t>Gini Index</w:t>
      </w:r>
      <w:r w:rsidR="00012222" w:rsidRPr="009D4F26">
        <w:t xml:space="preserve"> </w:t>
      </w:r>
      <w:r w:rsidRPr="009D4F26">
        <w:t xml:space="preserve">only through its impact on </w:t>
      </w:r>
      <w:r w:rsidRPr="009D4F26">
        <w:rPr>
          <w:rStyle w:val="HTMLCode"/>
          <w:rFonts w:ascii="Times New Roman" w:eastAsiaTheme="majorEastAsia" w:hAnsi="Times New Roman" w:cs="Times New Roman"/>
          <w:b/>
          <w:bCs/>
          <w:color w:val="0D0D0D"/>
          <w:sz w:val="21"/>
          <w:szCs w:val="21"/>
        </w:rPr>
        <w:t>bargain1</w:t>
      </w:r>
      <w:r w:rsidRPr="009D4F26">
        <w:t xml:space="preserve">. </w:t>
      </w:r>
    </w:p>
    <w:p w14:paraId="34858D5D" w14:textId="77777777" w:rsidR="007B749B" w:rsidRDefault="007B749B" w:rsidP="00605CFF"/>
    <w:p w14:paraId="74983B0C" w14:textId="0A9CBB81" w:rsidR="00012222" w:rsidRDefault="00012222" w:rsidP="00605CFF">
      <w:r>
        <w:t xml:space="preserve">The initial phase involves regressing the potentially endogenous variable, Bargaining Power, on the instrumental variable, Democratic Governance, alongside other control variables including Collective Bargaining Coverage, Inflation, Wage Growth, Government Debt, Log of Labor Force, and </w:t>
      </w:r>
      <w:r w:rsidR="00082EAC">
        <w:t>Women's</w:t>
      </w:r>
      <w:r>
        <w:t xml:space="preserve"> Unemployment Rate. This step aims to validate the instrument's relevance by ensuring it significantly predicts the endogenous variable.</w:t>
      </w:r>
    </w:p>
    <w:p w14:paraId="4D1A2988" w14:textId="77777777" w:rsidR="00FF2315" w:rsidRDefault="00012222" w:rsidP="00605CFF">
      <w:r>
        <w:t>The summary of this first-stage regression indicates significant coefficients, notably for Democratic Governance (with an estimated coefficient of 23.023832). This significant relationship confirms the instrumental variable's relevance in predicting Bargaining Power.</w:t>
      </w:r>
    </w:p>
    <w:p w14:paraId="565DBB30" w14:textId="258C04AB" w:rsidR="00FF2315" w:rsidRDefault="00FF2315" w:rsidP="00605CFF">
      <w:r>
        <w:lastRenderedPageBreak/>
        <w:t>The analysis additionally reveals a high F-statistic of 198.8. This, coupled with the exceptionally low p-value (less than 2.2e-16), provides compelling statistical evidence that the instrument effectively explains the variation in Bargaining Power.</w:t>
      </w:r>
    </w:p>
    <w:p w14:paraId="74F87952" w14:textId="77777777" w:rsidR="007B749B" w:rsidRDefault="007B749B" w:rsidP="00605CFF"/>
    <w:p w14:paraId="14EA064B" w14:textId="77777777" w:rsidR="00FF2315" w:rsidRPr="00FF2315" w:rsidRDefault="00FF2315" w:rsidP="00605CFF">
      <w:r w:rsidRPr="00FF2315">
        <w:t>The next stage focuses on the true relationship of interest. The Gini Index, our dependent variable, is regressed on the estimated Bargaining Power values (obtained from the first stage) alongside the original control variables. This approach aims to isolate the unbiased effect of Bargaining Power on the Gini Index, free from potential endogeneity issues.</w:t>
      </w:r>
    </w:p>
    <w:p w14:paraId="71002756" w14:textId="77777777" w:rsidR="00FF2315" w:rsidRPr="00FF2315" w:rsidRDefault="00FF2315" w:rsidP="00605CFF">
      <w:r w:rsidRPr="00FF2315">
        <w:t>The second-stage results reveal a marginally significant coefficient (-0.092719) for the fitted Bargaining Power values (at a 10% significance level). This suggests a subtle, yet potentially important, influence of Bargaining Power on the Gini Index after controlling for endogeneity through the instrumental variable (IV) method.</w:t>
      </w:r>
    </w:p>
    <w:p w14:paraId="2DF20202" w14:textId="1E58ABFF" w:rsidR="00FF2315" w:rsidRPr="00FF2315" w:rsidRDefault="00FF2315" w:rsidP="00605CFF">
      <w:r w:rsidRPr="00FF2315">
        <w:t>Furthermore, the analysis highlights the significant impact of other control variables, particularly the Women's Unemployment Rate, on the Gini Index. This comprehensive IV analysis underscores the validity and strength of Democratic Governance as an instrument for Bargaining Power. More importantly, it sheds light on the intricate relationship between Bargaining Power and the Gini Index. This reinforces the crucial role of selecting and validating strong instrumental variables to achieve unbiased and accurate econometric results</w:t>
      </w:r>
      <w:r>
        <w:t>.</w:t>
      </w:r>
    </w:p>
    <w:p w14:paraId="4B317972" w14:textId="77777777" w:rsidR="00C16360" w:rsidRDefault="00C16360" w:rsidP="00605CFF"/>
    <w:p w14:paraId="533FC3C1" w14:textId="77777777" w:rsidR="00F300BA" w:rsidRDefault="00F300BA" w:rsidP="00605CFF"/>
    <w:p w14:paraId="1B060E61" w14:textId="77777777" w:rsidR="00F300BA" w:rsidRDefault="00F300BA" w:rsidP="00605CFF"/>
    <w:p w14:paraId="25B7D25B" w14:textId="77777777" w:rsidR="00F300BA" w:rsidRDefault="00F300BA" w:rsidP="00605CFF"/>
    <w:p w14:paraId="5F8F2586" w14:textId="77777777" w:rsidR="00F300BA" w:rsidRDefault="00F300BA" w:rsidP="00605CFF"/>
    <w:p w14:paraId="2CAFA581" w14:textId="77777777" w:rsidR="00F300BA" w:rsidRDefault="00F300BA" w:rsidP="00605CFF"/>
    <w:p w14:paraId="17806F6E" w14:textId="77777777" w:rsidR="00F300BA" w:rsidRDefault="00F300BA" w:rsidP="00605CFF"/>
    <w:p w14:paraId="6486A5CD" w14:textId="77777777" w:rsidR="00F300BA" w:rsidRDefault="00F300BA" w:rsidP="00605CFF"/>
    <w:p w14:paraId="63F310C8" w14:textId="77777777" w:rsidR="00F300BA" w:rsidRDefault="00F300BA" w:rsidP="00605CFF"/>
    <w:p w14:paraId="34E00D03" w14:textId="77777777" w:rsidR="00F300BA" w:rsidRDefault="00F300BA" w:rsidP="00605CFF"/>
    <w:p w14:paraId="07775CA8" w14:textId="77777777" w:rsidR="00F300BA" w:rsidRDefault="00F300BA" w:rsidP="00605CFF"/>
    <w:p w14:paraId="3613B0EB" w14:textId="77777777" w:rsidR="00F300BA" w:rsidRDefault="00F300BA" w:rsidP="00605CFF"/>
    <w:p w14:paraId="6A70DD91" w14:textId="77777777" w:rsidR="00F300BA" w:rsidRDefault="00F300BA" w:rsidP="00605CFF"/>
    <w:p w14:paraId="634C0D28" w14:textId="77777777" w:rsidR="00F300BA" w:rsidRDefault="00F300BA" w:rsidP="00605CFF"/>
    <w:p w14:paraId="0D38B0D7" w14:textId="77777777" w:rsidR="00F300BA" w:rsidRDefault="00F300BA" w:rsidP="00605CFF"/>
    <w:p w14:paraId="33131A6B" w14:textId="77777777" w:rsidR="00F300BA" w:rsidRDefault="00F300BA" w:rsidP="00605CFF"/>
    <w:p w14:paraId="58D0D6E0" w14:textId="77777777" w:rsidR="00F300BA" w:rsidRDefault="00F300BA" w:rsidP="00605CFF"/>
    <w:p w14:paraId="723FFADB" w14:textId="77777777" w:rsidR="00F300BA" w:rsidRDefault="00F300BA" w:rsidP="00605CFF"/>
    <w:p w14:paraId="3E76F804" w14:textId="77777777" w:rsidR="00F300BA" w:rsidRDefault="00F300BA" w:rsidP="00605CFF"/>
    <w:p w14:paraId="57D25F4E" w14:textId="77777777" w:rsidR="00F300BA" w:rsidRDefault="00F300BA" w:rsidP="00605CFF"/>
    <w:p w14:paraId="3BEED2D9" w14:textId="77777777" w:rsidR="00F300BA" w:rsidRDefault="00F300BA" w:rsidP="00605CFF"/>
    <w:p w14:paraId="4502D612" w14:textId="77777777" w:rsidR="00F300BA" w:rsidRDefault="00F300BA" w:rsidP="00605CFF"/>
    <w:p w14:paraId="2D8256C7" w14:textId="77777777" w:rsidR="00F300BA" w:rsidRDefault="00F300BA" w:rsidP="00605CFF"/>
    <w:p w14:paraId="6AE5CEF0" w14:textId="77777777" w:rsidR="00F300BA" w:rsidRDefault="00F300BA" w:rsidP="00605CFF"/>
    <w:p w14:paraId="0A08C799" w14:textId="77777777" w:rsidR="00F300BA" w:rsidRDefault="00F300BA" w:rsidP="00605CFF"/>
    <w:p w14:paraId="29C011F1" w14:textId="77777777" w:rsidR="00FD747B" w:rsidRDefault="00FD747B" w:rsidP="00605CFF"/>
    <w:p w14:paraId="6F5247E1" w14:textId="417D6F10" w:rsidR="004B27B1" w:rsidRDefault="00C16360" w:rsidP="004B27B1">
      <w:pPr>
        <w:pStyle w:val="Heading1"/>
      </w:pPr>
      <w:r>
        <w:lastRenderedPageBreak/>
        <w:t>Model Results</w:t>
      </w:r>
    </w:p>
    <w:p w14:paraId="681635E1" w14:textId="77777777" w:rsidR="004B27B1" w:rsidRPr="004B27B1" w:rsidRDefault="004B27B1" w:rsidP="004B27B1">
      <w:r w:rsidRPr="004B27B1">
        <w:t>The fixed effects regression model with instrumental variables (IV) offers a more robust approach to examining the causal impact of key labour market variables on income inequality, measured by the Gini Index. This technique addresses the issue of endogeneity, where factors influencing collective bargaining strength might also independently affect income inequality. By introducing an instrumental variable like 'bargain1' (interaction of Trade Union Density and Collective Bargaining Coverage), the IV model isolates the causal effect of stronger collective bargaining on income inequality. The consistently negative coefficient of 'bargain1' across various model specifications reveals a statistically significant association between stronger collective bargaining and reduced income inequality. This suggests that labour unions act as a powerful mechanism in promoting a more equitable income distribution.</w:t>
      </w:r>
    </w:p>
    <w:p w14:paraId="06026FC9" w14:textId="041A847E" w:rsidR="004B27B1" w:rsidRPr="004B27B1" w:rsidRDefault="004B27B1" w:rsidP="004B27B1">
      <w:r w:rsidRPr="004B27B1">
        <w:t>Furthermore, the model demonstrates a negative Average Treatment Effect (ATE) of Trade Union Density on the Gini Index, further substantiating its role in reducing income disparity. Higher unionization levels not only correlate with lower income inequality but also highlight the bargaining power unions wield in the labour market. The application of the IV model, particularly with the 'bargain1' variable, allows us to interpret these relationships as causal, not simply correlational. By addressing potential endogeneity, the IV approach underscores the critical role collective bargaining and Trade Union Density play in shaping income distribution.</w:t>
      </w:r>
    </w:p>
    <w:p w14:paraId="5D3FF9BF" w14:textId="77777777" w:rsidR="004B27B1" w:rsidRDefault="004B27B1" w:rsidP="00605CFF"/>
    <w:p w14:paraId="669F82E8" w14:textId="4A23DF72" w:rsidR="009D4F26" w:rsidRDefault="004B6718" w:rsidP="00605CFF">
      <w:r>
        <w:t xml:space="preserve">The introduction of Democratic Governance as </w:t>
      </w:r>
      <w:r w:rsidR="00082EAC">
        <w:t xml:space="preserve">an </w:t>
      </w:r>
      <w:r>
        <w:t xml:space="preserve">instrumental variable plays a pivotal role in </w:t>
      </w:r>
      <w:r w:rsidR="00082EAC">
        <w:t>addressing</w:t>
      </w:r>
      <w:r>
        <w:t xml:space="preserve"> endogeneity in the model</w:t>
      </w:r>
      <w:r w:rsidRPr="00167F48">
        <w:t xml:space="preserve">. </w:t>
      </w:r>
      <w:r w:rsidR="00167F48" w:rsidRPr="00167F48">
        <w:t>It's important to note that these relationships are interpreted causally due to the use of instrumental variables, which helps to control for endogeneity. This implies that the observed relationships are less likely to be influenced by omitted variable bias or reverse causality.</w:t>
      </w:r>
      <w:r w:rsidR="00167F48">
        <w:rPr>
          <w:rFonts w:ascii="Segoe UI" w:hAnsi="Segoe UI" w:cs="Segoe UI"/>
          <w:color w:val="0D0D0D"/>
        </w:rPr>
        <w:t xml:space="preserve"> </w:t>
      </w:r>
      <w:r w:rsidR="003C6B4C">
        <w:t xml:space="preserve">These findings contribute valuable insights into policy discussions aimed at reducing income inequality and improving </w:t>
      </w:r>
      <w:r w:rsidR="00082EAC">
        <w:t>labour</w:t>
      </w:r>
      <w:r w:rsidR="003C6B4C">
        <w:t xml:space="preserve"> market outcomes</w:t>
      </w:r>
      <w:r w:rsidR="00E75B79" w:rsidRPr="00167F48">
        <w:t>.</w:t>
      </w:r>
      <w:r w:rsidR="00081D97" w:rsidRPr="00167F48">
        <w:t xml:space="preserve"> Trade Union Density also shows a negative coefficient, suggesting that as union density increases, income inequality decreases. This is in line with traditional views on the role of unions in promoting fair wages and reducing income disparities. A higher union density means a larger proportion of the workforce is unionized, and this collective representation is effective in pushing for policies and wage negotiations that benefit a broader segment of employees, not just the top earners.</w:t>
      </w:r>
    </w:p>
    <w:p w14:paraId="13783D8A" w14:textId="77777777" w:rsidR="004B27B1" w:rsidRPr="00167F48" w:rsidRDefault="004B27B1" w:rsidP="00605CFF"/>
    <w:p w14:paraId="7BE2324B" w14:textId="0148D9FA" w:rsidR="004B27B1" w:rsidRDefault="004B27B1" w:rsidP="004B27B1">
      <w:r w:rsidRPr="004B27B1">
        <w:t>While the analysis highlights a negative association between collective bargaining and income inequality, it's crucial to acknowledge that these effects might not be uniform across all segments of the workforce or time periods. Let's delve deeper into these complexities.</w:t>
      </w:r>
    </w:p>
    <w:p w14:paraId="201FF658" w14:textId="77777777" w:rsidR="004B27B1" w:rsidRPr="004B27B1" w:rsidRDefault="004B27B1" w:rsidP="004B27B1"/>
    <w:p w14:paraId="08377991" w14:textId="77777777" w:rsidR="004B27B1" w:rsidRDefault="004B27B1" w:rsidP="004B27B1">
      <w:pPr>
        <w:pStyle w:val="Heading3"/>
      </w:pPr>
      <w:r w:rsidRPr="004B27B1">
        <w:t>Heterogeneity of Effects: Who Benefits Most?</w:t>
      </w:r>
    </w:p>
    <w:p w14:paraId="1A10C00C" w14:textId="77777777" w:rsidR="004B27B1" w:rsidRPr="004B27B1" w:rsidRDefault="004B27B1" w:rsidP="004B27B1">
      <w:pPr>
        <w:rPr>
          <w:b/>
          <w:bCs/>
          <w:sz w:val="27"/>
          <w:szCs w:val="27"/>
        </w:rPr>
      </w:pPr>
    </w:p>
    <w:p w14:paraId="533F7150" w14:textId="77777777" w:rsidR="004B27B1" w:rsidRDefault="004B27B1" w:rsidP="004B27B1">
      <w:r w:rsidRPr="004B27B1">
        <w:t xml:space="preserve">The impact of collective bargaining on income inequality might vary depending on worker characteristics. For instance, the wage gains secured through collective bargaining agreements might be more substantial for low-skilled workers compared to highly skilled workers who </w:t>
      </w:r>
      <w:r w:rsidRPr="004B27B1">
        <w:lastRenderedPageBreak/>
        <w:t>may already negotiate higher wages individually. Similarly, the effects might differ across industries, with stronger effects in sectors with a traditionally high union presence, such as manufacturing, compared to service sectors with lower unionization rates. Examining these variations through subgroup analyses can provide a more nuanced understanding of how collective bargaining shapes income distribution across different worker groups.</w:t>
      </w:r>
    </w:p>
    <w:p w14:paraId="10E455D6" w14:textId="77777777" w:rsidR="004B27B1" w:rsidRPr="004B27B1" w:rsidRDefault="004B27B1" w:rsidP="004B27B1"/>
    <w:p w14:paraId="43EAE866" w14:textId="77777777" w:rsidR="004B27B1" w:rsidRDefault="004B27B1" w:rsidP="004B27B1">
      <w:pPr>
        <w:pStyle w:val="Heading3"/>
      </w:pPr>
      <w:r w:rsidRPr="004B27B1">
        <w:t>Complementary Mechanisms: Beyond Wages</w:t>
      </w:r>
    </w:p>
    <w:p w14:paraId="6065069A" w14:textId="77777777" w:rsidR="004B27B1" w:rsidRPr="004B27B1" w:rsidRDefault="004B27B1" w:rsidP="004B27B1">
      <w:pPr>
        <w:rPr>
          <w:lang w:eastAsia="en-US"/>
        </w:rPr>
      </w:pPr>
    </w:p>
    <w:p w14:paraId="25E25ED5" w14:textId="77777777" w:rsidR="004B27B1" w:rsidRDefault="004B27B1" w:rsidP="004B27B1">
      <w:r w:rsidRPr="004B27B1">
        <w:t>While wage adjustments are a central mechanism through which collective bargaining can influence income inequality, other factors might also play a role. Unions might promote income equality by advocating for policies that enhance job security, provide access to training programs, or strengthen social safety nets. These additional mechanisms can help to reduce income disparities beyond the direct effect on wages. Future research could explore the relative importance of these complementary mechanisms in achieving a more equitable income distribution.</w:t>
      </w:r>
    </w:p>
    <w:p w14:paraId="0BEEF6A4" w14:textId="77777777" w:rsidR="004B27B1" w:rsidRPr="004B27B1" w:rsidRDefault="004B27B1" w:rsidP="004B27B1"/>
    <w:p w14:paraId="785CD9AE" w14:textId="77777777" w:rsidR="004B27B1" w:rsidRPr="004B27B1" w:rsidRDefault="004B27B1" w:rsidP="004B27B1">
      <w:pPr>
        <w:pStyle w:val="Heading3"/>
      </w:pPr>
      <w:r w:rsidRPr="004B27B1">
        <w:t>Dynamic Effects: A Long-Term Perspective</w:t>
      </w:r>
    </w:p>
    <w:p w14:paraId="5712BCB8" w14:textId="77777777" w:rsidR="004B27B1" w:rsidRDefault="004B27B1" w:rsidP="004B27B1"/>
    <w:p w14:paraId="1D17F348" w14:textId="6978B709" w:rsidR="004B27B1" w:rsidRPr="004B27B1" w:rsidRDefault="004B27B1" w:rsidP="004B27B1">
      <w:r w:rsidRPr="004B27B1">
        <w:t>The relationship between collective bargaining, union density, and income inequality might evolve over time. For example, the decline of unionization rates in many countries in recent decades might have had a long-term impact on income inequality. Analyzing data over longer periods and exploring how changes in collective bargaining strength or union density affect income inequality over time could provide insights into the dynamics of these relationships. This longitudinal perspective can help us understand how institutional changes in the labor market influence income distribution in the long run.</w:t>
      </w:r>
    </w:p>
    <w:p w14:paraId="3ADCC96E" w14:textId="77777777" w:rsidR="004B27B1" w:rsidRPr="004B27B1" w:rsidRDefault="004B27B1" w:rsidP="004B27B1">
      <w:r w:rsidRPr="004B27B1">
        <w:t>By investigating heterogeneity, complementary mechanisms, and dynamic effects, we can move beyond an average treatment effect and gain a richer understanding of the multifaceted ways in which collective bargaining shapes income inequality. This knowledge can inform policy discussions aimed at promoting a more equitable distribution of income and improving overall labor market outcomes.</w:t>
      </w:r>
    </w:p>
    <w:p w14:paraId="43D99FAF" w14:textId="77777777" w:rsidR="004B6718" w:rsidRDefault="004B6718" w:rsidP="00605CFF"/>
    <w:p w14:paraId="547E87E8" w14:textId="77777777" w:rsidR="004B6718" w:rsidRDefault="004B6718" w:rsidP="00605CFF"/>
    <w:p w14:paraId="0708999C" w14:textId="77777777" w:rsidR="004B6718" w:rsidRDefault="004B6718" w:rsidP="00605CFF"/>
    <w:p w14:paraId="582B64DB" w14:textId="77777777" w:rsidR="004B6718" w:rsidRDefault="004B6718" w:rsidP="00605CFF"/>
    <w:p w14:paraId="20E3BEC3" w14:textId="77777777" w:rsidR="004B6718" w:rsidRDefault="004B6718" w:rsidP="00605CFF"/>
    <w:p w14:paraId="6F5166F8" w14:textId="77777777" w:rsidR="004B6718" w:rsidRDefault="004B6718" w:rsidP="00605CFF"/>
    <w:p w14:paraId="67610D8C" w14:textId="77777777" w:rsidR="004B6718" w:rsidRDefault="004B6718" w:rsidP="00605CFF"/>
    <w:p w14:paraId="52C917A7" w14:textId="77777777" w:rsidR="004B27B1" w:rsidRDefault="004B27B1" w:rsidP="00605CFF"/>
    <w:p w14:paraId="48C30244" w14:textId="77777777" w:rsidR="004B6718" w:rsidRDefault="004B6718" w:rsidP="00605CFF"/>
    <w:p w14:paraId="2E6017BE" w14:textId="11FCC955" w:rsidR="004B6718" w:rsidRDefault="004B6718" w:rsidP="00605CFF">
      <w:pPr>
        <w:pStyle w:val="Heading2"/>
      </w:pPr>
      <w:r>
        <w:lastRenderedPageBreak/>
        <w:t>Fixed Effect results</w:t>
      </w:r>
    </w:p>
    <w:p w14:paraId="0147D564" w14:textId="7EF894E6" w:rsidR="00542CB9" w:rsidRPr="00542CB9" w:rsidRDefault="00542CB9" w:rsidP="00605CFF">
      <w:pPr>
        <w:rPr>
          <w:lang w:eastAsia="en-US"/>
        </w:rPr>
      </w:pPr>
    </w:p>
    <w:p w14:paraId="5A41450C" w14:textId="29C4858A" w:rsidR="00E75B79" w:rsidRDefault="004B6718" w:rsidP="00605CFF">
      <w:pPr>
        <w:pStyle w:val="Heading2"/>
      </w:pPr>
      <w:r>
        <w:t>Fixed Effect with Instrumental Variable</w:t>
      </w:r>
    </w:p>
    <w:p w14:paraId="0786A900" w14:textId="77777777" w:rsidR="00542CB9" w:rsidRPr="00542CB9" w:rsidRDefault="00542CB9" w:rsidP="00605CFF">
      <w:pPr>
        <w:rPr>
          <w:lang w:eastAsia="en-US"/>
        </w:rPr>
      </w:pPr>
    </w:p>
    <w:p w14:paraId="7F871761" w14:textId="77777777" w:rsidR="00167F48" w:rsidRDefault="00167F48" w:rsidP="002866C4">
      <w:pPr>
        <w:pStyle w:val="Heading1"/>
      </w:pPr>
      <w:r>
        <w:t>Policy Implication</w:t>
      </w:r>
    </w:p>
    <w:p w14:paraId="7CFA1CE3" w14:textId="3621549A" w:rsidR="00167F48" w:rsidRDefault="00167F48" w:rsidP="00605CFF">
      <w:r w:rsidRPr="00167F48">
        <w:t xml:space="preserve">The empirical findings from the regression analysis have significant policy implications. The demonstrated negative relationship between collective bargaining, trade union density, and the Gini Index suggests that strengthening </w:t>
      </w:r>
      <w:r w:rsidR="00C6756E">
        <w:t>labour</w:t>
      </w:r>
      <w:r w:rsidRPr="00167F48">
        <w:t xml:space="preserve"> unions and collective bargaining processes could be an effective policy lever for reducing income inequality. Governments might, therefore, consider enacting and enforcing legislation that protects the right to organize and collectively bargain, as well as policies that encourage higher union membership. Moreover, supporting a fair minimum wage could serve as a complementary policy measure to narrow income disparities further. These strategies, alongside broader collective bargaining coverage, can not only promote a more equitable income distribution but also contribute to a stable and motivated workforce, which is beneficial for the overall economy. As such, policymakers should view the empowerment of trade unions and the facilitation of collective bargaining not only as a matter of </w:t>
      </w:r>
      <w:r w:rsidR="00C6756E">
        <w:t>labour</w:t>
      </w:r>
      <w:r w:rsidRPr="00167F48">
        <w:t xml:space="preserve"> rights but also as a central component of a comprehensive strategy to tackle economic inequality.</w:t>
      </w:r>
    </w:p>
    <w:p w14:paraId="51C238BB" w14:textId="77777777" w:rsidR="00190178" w:rsidRDefault="00190178" w:rsidP="00605CFF"/>
    <w:p w14:paraId="66EAD8FD" w14:textId="77777777" w:rsidR="00190178" w:rsidRDefault="00190178" w:rsidP="00605CFF"/>
    <w:p w14:paraId="7E4BA669" w14:textId="77777777" w:rsidR="0017753D" w:rsidRDefault="0017753D" w:rsidP="00605CFF"/>
    <w:p w14:paraId="12B10953" w14:textId="77777777" w:rsidR="0017753D" w:rsidRDefault="0017753D" w:rsidP="00605CFF"/>
    <w:p w14:paraId="477F4A41" w14:textId="77777777" w:rsidR="0017753D" w:rsidRDefault="0017753D" w:rsidP="00605CFF"/>
    <w:p w14:paraId="1E0597B0" w14:textId="77777777" w:rsidR="0017753D" w:rsidRDefault="0017753D" w:rsidP="00605CFF"/>
    <w:p w14:paraId="22F9136C" w14:textId="77777777" w:rsidR="0017753D" w:rsidRDefault="0017753D" w:rsidP="00605CFF"/>
    <w:p w14:paraId="4441D75B" w14:textId="77777777" w:rsidR="0017753D" w:rsidRDefault="0017753D" w:rsidP="00605CFF"/>
    <w:p w14:paraId="016084AD" w14:textId="77777777" w:rsidR="0017753D" w:rsidRDefault="0017753D" w:rsidP="00605CFF"/>
    <w:p w14:paraId="04D55493" w14:textId="77777777" w:rsidR="0017753D" w:rsidRDefault="0017753D" w:rsidP="00605CFF"/>
    <w:p w14:paraId="123EEE31" w14:textId="77777777" w:rsidR="0017753D" w:rsidRDefault="0017753D" w:rsidP="00605CFF"/>
    <w:p w14:paraId="4950ADBC" w14:textId="77777777" w:rsidR="0017753D" w:rsidRDefault="0017753D" w:rsidP="00605CFF"/>
    <w:p w14:paraId="45B13393" w14:textId="77777777" w:rsidR="0017753D" w:rsidRDefault="0017753D" w:rsidP="00605CFF"/>
    <w:p w14:paraId="396C012A" w14:textId="77777777" w:rsidR="0017753D" w:rsidRDefault="0017753D" w:rsidP="00605CFF"/>
    <w:p w14:paraId="5A578764" w14:textId="77777777" w:rsidR="0017753D" w:rsidRDefault="0017753D" w:rsidP="00605CFF"/>
    <w:p w14:paraId="5D77735C" w14:textId="77777777" w:rsidR="0017753D" w:rsidRDefault="0017753D" w:rsidP="00605CFF"/>
    <w:p w14:paraId="49164D75" w14:textId="77777777" w:rsidR="0017753D" w:rsidRDefault="0017753D" w:rsidP="00605CFF"/>
    <w:p w14:paraId="463889A5" w14:textId="6F753B14" w:rsidR="00F003D2" w:rsidRDefault="00F003D2" w:rsidP="002866C4">
      <w:pPr>
        <w:pStyle w:val="Heading1"/>
      </w:pPr>
      <w:r>
        <w:lastRenderedPageBreak/>
        <w:t>Conclusions</w:t>
      </w:r>
    </w:p>
    <w:p w14:paraId="40B52588" w14:textId="610D74AA" w:rsidR="00806E9C" w:rsidRDefault="00806E9C" w:rsidP="00605CFF">
      <w:r>
        <w:t xml:space="preserve">In conclusion, the intricate investigation into the dynamics of </w:t>
      </w:r>
      <w:r w:rsidR="00C6756E">
        <w:t>labour</w:t>
      </w:r>
      <w:r>
        <w:t xml:space="preserve"> unions and collective bargaining across EU countries has illuminated their profound influence on income inequality. The use of fixed effects regression models with instrumental variables provides a compelling narrative on the causal relationships inherent in the </w:t>
      </w:r>
      <w:r w:rsidR="00C6756E">
        <w:t>labour</w:t>
      </w:r>
      <w:r>
        <w:t xml:space="preserve"> market. The findings explicitly demonstrate that collective bargaining and trade union density play instrumental roles in shaping equitable economic outcomes, as evidenced by their significant negative impact on the Gini Index.</w:t>
      </w:r>
      <w:r w:rsidR="00523E2A">
        <w:t xml:space="preserve"> </w:t>
      </w:r>
      <w:r>
        <w:t>Collective bargaining strength, encapsulated in the 'bargain1' variable, emerged as a robust determinant in mitigating income inequality. Enhanced bargaining power, indicated by the ATE, is associated with a reduction in the Gini Index, suggesting that strong collective bargaining mechanisms are central to achieving income equity. The persistence of trade union density, despite the observed decline in membership, underscores the enduring importance of unions in the quest for social justice.</w:t>
      </w:r>
      <w:r w:rsidR="00523E2A">
        <w:t xml:space="preserve"> </w:t>
      </w:r>
      <w:r>
        <w:t xml:space="preserve">The inclusion of Democratic Governance as an instrumental variable underscores the necessity of robust democratic institutions and practices in supporting effective </w:t>
      </w:r>
      <w:r w:rsidR="00C6756E">
        <w:t>labour</w:t>
      </w:r>
      <w:r>
        <w:t xml:space="preserve"> representation. This factor alone has the potential to influence the very fabric </w:t>
      </w:r>
      <w:r w:rsidR="00C6756E">
        <w:t>of labour</w:t>
      </w:r>
      <w:r>
        <w:t xml:space="preserve"> dynamics, as it encapsulates the degree to which citizens can engage in the </w:t>
      </w:r>
      <w:r w:rsidR="00C6756E">
        <w:t>socioeconomic</w:t>
      </w:r>
      <w:r>
        <w:t xml:space="preserve"> decisions that affect their lives.</w:t>
      </w:r>
      <w:r w:rsidR="00523E2A">
        <w:t xml:space="preserve"> </w:t>
      </w:r>
      <w:r>
        <w:t xml:space="preserve">From a policy perspective, these insights stress the importance of supporting and strengthening </w:t>
      </w:r>
      <w:r w:rsidR="00C26604">
        <w:t>labour unions</w:t>
      </w:r>
      <w:r>
        <w:t xml:space="preserve"> and collective bargaining frameworks. This support could take the form of </w:t>
      </w:r>
      <w:r w:rsidR="00C6756E">
        <w:t>favourable</w:t>
      </w:r>
      <w:r>
        <w:t xml:space="preserve"> legislation, incentives for union membership, and initiatives that foster collective bargaining, especially in the face of a changing </w:t>
      </w:r>
      <w:r w:rsidR="00C6756E">
        <w:t>labour</w:t>
      </w:r>
      <w:r>
        <w:t xml:space="preserve"> market landscape. Such measures not only address immediate economic disparities but also fortify the foundations for a resilient and inclusive economy.</w:t>
      </w:r>
      <w:r w:rsidR="00523E2A">
        <w:t xml:space="preserve"> </w:t>
      </w:r>
      <w:r>
        <w:t xml:space="preserve">This study contributes to the ongoing discourse on </w:t>
      </w:r>
      <w:r w:rsidR="00C6756E">
        <w:t>labour</w:t>
      </w:r>
      <w:r>
        <w:t xml:space="preserve"> economics and social equity by providing empirical evidence of the mechanisms through which collective bargaining and trade union density can influence income distribution. As we navigate the complexities of a globalized economy, it becomes increasingly clear that the pursuit of inclusive growth must consider the pivotal role of </w:t>
      </w:r>
      <w:r w:rsidR="00C6756E">
        <w:t>labour</w:t>
      </w:r>
      <w:r>
        <w:t xml:space="preserve"> institutions in fostering equitable </w:t>
      </w:r>
      <w:r w:rsidR="00C6756E">
        <w:t>labour</w:t>
      </w:r>
      <w:r>
        <w:t xml:space="preserve"> market outcomes.</w:t>
      </w:r>
    </w:p>
    <w:p w14:paraId="00E258C6" w14:textId="77777777" w:rsidR="00806E9C" w:rsidRDefault="00806E9C" w:rsidP="00605CFF">
      <w:pPr>
        <w:rPr>
          <w:lang w:eastAsia="en-US"/>
        </w:rPr>
      </w:pPr>
    </w:p>
    <w:p w14:paraId="25268324" w14:textId="77777777" w:rsidR="000B0190" w:rsidRDefault="000B0190" w:rsidP="00605CFF">
      <w:pPr>
        <w:rPr>
          <w:lang w:eastAsia="en-US"/>
        </w:rPr>
      </w:pPr>
    </w:p>
    <w:p w14:paraId="796D82D8" w14:textId="77777777" w:rsidR="000B0190" w:rsidRDefault="000B0190" w:rsidP="00605CFF">
      <w:pPr>
        <w:rPr>
          <w:lang w:eastAsia="en-US"/>
        </w:rPr>
      </w:pPr>
    </w:p>
    <w:p w14:paraId="136887A3" w14:textId="77777777" w:rsidR="00F300BA" w:rsidRDefault="00F300BA" w:rsidP="00605CFF">
      <w:pPr>
        <w:rPr>
          <w:lang w:eastAsia="en-US"/>
        </w:rPr>
      </w:pPr>
    </w:p>
    <w:p w14:paraId="1C2F5654" w14:textId="77777777" w:rsidR="00F300BA" w:rsidRDefault="00F300BA" w:rsidP="00605CFF">
      <w:pPr>
        <w:rPr>
          <w:lang w:eastAsia="en-US"/>
        </w:rPr>
      </w:pPr>
    </w:p>
    <w:p w14:paraId="7478EF11" w14:textId="77777777" w:rsidR="00F300BA" w:rsidRDefault="00F300BA" w:rsidP="00605CFF">
      <w:pPr>
        <w:rPr>
          <w:lang w:eastAsia="en-US"/>
        </w:rPr>
      </w:pPr>
    </w:p>
    <w:p w14:paraId="4BEFB266" w14:textId="77777777" w:rsidR="00F300BA" w:rsidRDefault="00F300BA" w:rsidP="00605CFF">
      <w:pPr>
        <w:rPr>
          <w:lang w:eastAsia="en-US"/>
        </w:rPr>
      </w:pPr>
    </w:p>
    <w:p w14:paraId="0785C28B" w14:textId="77777777" w:rsidR="00F300BA" w:rsidRDefault="00F300BA" w:rsidP="00605CFF">
      <w:pPr>
        <w:rPr>
          <w:lang w:eastAsia="en-US"/>
        </w:rPr>
      </w:pPr>
    </w:p>
    <w:p w14:paraId="5952C07A" w14:textId="77777777" w:rsidR="00F300BA" w:rsidRDefault="00F300BA" w:rsidP="00605CFF">
      <w:pPr>
        <w:rPr>
          <w:lang w:eastAsia="en-US"/>
        </w:rPr>
      </w:pPr>
    </w:p>
    <w:p w14:paraId="11320D86" w14:textId="77777777" w:rsidR="00F300BA" w:rsidRDefault="00F300BA" w:rsidP="00605CFF">
      <w:pPr>
        <w:rPr>
          <w:lang w:eastAsia="en-US"/>
        </w:rPr>
      </w:pPr>
    </w:p>
    <w:p w14:paraId="79DB9559" w14:textId="77777777" w:rsidR="00F300BA" w:rsidRDefault="00F300BA" w:rsidP="00605CFF">
      <w:pPr>
        <w:rPr>
          <w:lang w:eastAsia="en-US"/>
        </w:rPr>
      </w:pPr>
    </w:p>
    <w:p w14:paraId="507844C2" w14:textId="77777777" w:rsidR="00F300BA" w:rsidRDefault="00F300BA" w:rsidP="00605CFF">
      <w:pPr>
        <w:rPr>
          <w:lang w:eastAsia="en-US"/>
        </w:rPr>
      </w:pPr>
    </w:p>
    <w:p w14:paraId="54085269" w14:textId="77777777" w:rsidR="00F300BA" w:rsidRDefault="00F300BA" w:rsidP="00605CFF">
      <w:pPr>
        <w:rPr>
          <w:lang w:eastAsia="en-US"/>
        </w:rPr>
      </w:pPr>
    </w:p>
    <w:p w14:paraId="02B63657" w14:textId="77777777" w:rsidR="00F300BA" w:rsidRDefault="00F300BA" w:rsidP="00605CFF">
      <w:pPr>
        <w:rPr>
          <w:lang w:eastAsia="en-US"/>
        </w:rPr>
      </w:pPr>
    </w:p>
    <w:p w14:paraId="60FB994D" w14:textId="77777777" w:rsidR="000B0190" w:rsidRDefault="000B0190" w:rsidP="00605CFF">
      <w:pPr>
        <w:rPr>
          <w:lang w:eastAsia="en-US"/>
        </w:rPr>
      </w:pPr>
    </w:p>
    <w:p w14:paraId="609FE022" w14:textId="54EEAB28" w:rsidR="00F57DF5" w:rsidRDefault="00F57DF5" w:rsidP="002866C4">
      <w:pPr>
        <w:pStyle w:val="Heading1"/>
      </w:pPr>
      <w:r>
        <w:lastRenderedPageBreak/>
        <w:t>Bibliography</w:t>
      </w:r>
    </w:p>
    <w:p w14:paraId="12E54AC3" w14:textId="77777777" w:rsidR="0021146B" w:rsidRPr="0021146B" w:rsidRDefault="00F57DF5" w:rsidP="00605CFF">
      <w:pPr>
        <w:pStyle w:val="Bibliography"/>
        <w:rPr>
          <w:lang w:val="en-GB"/>
        </w:rPr>
      </w:pPr>
      <w:r>
        <w:rPr>
          <w:lang w:eastAsia="en-US"/>
        </w:rPr>
        <w:fldChar w:fldCharType="begin"/>
      </w:r>
      <w:r>
        <w:rPr>
          <w:lang w:eastAsia="en-US"/>
        </w:rPr>
        <w:instrText xml:space="preserve"> ADDIN ZOTERO_BIBL {"uncited":[],"omitted":[],"custom":[]} CSL_BIBLIOGRAPHY </w:instrText>
      </w:r>
      <w:r>
        <w:rPr>
          <w:lang w:eastAsia="en-US"/>
        </w:rPr>
        <w:fldChar w:fldCharType="separate"/>
      </w:r>
      <w:r w:rsidR="0021146B" w:rsidRPr="0021146B">
        <w:rPr>
          <w:lang w:val="en-GB"/>
        </w:rPr>
        <w:t xml:space="preserve">Addison, John T., and Barry T. Hirsch. 1989. “Union Effects on Productivity, Profits, and Growth: Has the Long Run Arrived?” </w:t>
      </w:r>
      <w:r w:rsidR="0021146B" w:rsidRPr="0021146B">
        <w:rPr>
          <w:i/>
          <w:iCs/>
          <w:lang w:val="en-GB"/>
        </w:rPr>
        <w:t>Journal of Labor Economics</w:t>
      </w:r>
      <w:r w:rsidR="0021146B" w:rsidRPr="0021146B">
        <w:rPr>
          <w:lang w:val="en-GB"/>
        </w:rPr>
        <w:t xml:space="preserve"> 7 (1): 72–105. https://doi.org/10.1086/298199.</w:t>
      </w:r>
    </w:p>
    <w:p w14:paraId="0171E5FF" w14:textId="77777777" w:rsidR="0021146B" w:rsidRPr="0021146B" w:rsidRDefault="0021146B" w:rsidP="00605CFF">
      <w:pPr>
        <w:pStyle w:val="Bibliography"/>
        <w:rPr>
          <w:lang w:val="en-GB"/>
        </w:rPr>
      </w:pPr>
      <w:r w:rsidRPr="0021146B">
        <w:rPr>
          <w:lang w:val="en-GB"/>
        </w:rPr>
        <w:t xml:space="preserve">Bental, Benjamin, and Dominique Demougin. 2010. “Declining Labor Shares and Bargaining Power: An Institutional Explanation.” </w:t>
      </w:r>
      <w:r w:rsidRPr="0021146B">
        <w:rPr>
          <w:i/>
          <w:iCs/>
          <w:lang w:val="en-GB"/>
        </w:rPr>
        <w:t>Journal of Macroeconomics</w:t>
      </w:r>
      <w:r w:rsidRPr="0021146B">
        <w:rPr>
          <w:lang w:val="en-GB"/>
        </w:rPr>
        <w:t xml:space="preserve"> 32 (1): 443–56. https://doi.org/10.1016/j.jmacro.2009.09.005.</w:t>
      </w:r>
    </w:p>
    <w:p w14:paraId="0991223C" w14:textId="77777777" w:rsidR="0021146B" w:rsidRPr="0021146B" w:rsidRDefault="0021146B" w:rsidP="00605CFF">
      <w:pPr>
        <w:pStyle w:val="Bibliography"/>
        <w:rPr>
          <w:lang w:val="en-GB"/>
        </w:rPr>
      </w:pPr>
      <w:r w:rsidRPr="0021146B">
        <w:rPr>
          <w:lang w:val="en-GB"/>
        </w:rPr>
        <w:t>“Civil Society Participation Index, 2022.” n.d. Accessed April 3, 2024. https://ourworldindata.org/grapher/civil-society-participation-index.</w:t>
      </w:r>
    </w:p>
    <w:p w14:paraId="1FDB0CED" w14:textId="77777777" w:rsidR="0021146B" w:rsidRPr="0021146B" w:rsidRDefault="0021146B" w:rsidP="00605CFF">
      <w:pPr>
        <w:pStyle w:val="Bibliography"/>
        <w:rPr>
          <w:lang w:val="en-GB"/>
        </w:rPr>
      </w:pPr>
      <w:r w:rsidRPr="0021146B">
        <w:rPr>
          <w:lang w:val="en-GB"/>
        </w:rPr>
        <w:t xml:space="preserve">Engeman, Cassandra. 2021. “When Do Unions Matter to Social Policy? Organized Labor and Leave Legislation in US States.” </w:t>
      </w:r>
      <w:r w:rsidRPr="0021146B">
        <w:rPr>
          <w:i/>
          <w:iCs/>
          <w:lang w:val="en-GB"/>
        </w:rPr>
        <w:t>Social Forces</w:t>
      </w:r>
      <w:r w:rsidRPr="0021146B">
        <w:rPr>
          <w:lang w:val="en-GB"/>
        </w:rPr>
        <w:t xml:space="preserve"> 99 (4): 1745–71. https://doi.org/10.1093/sf/soaa074.</w:t>
      </w:r>
    </w:p>
    <w:p w14:paraId="318B96C2" w14:textId="77777777" w:rsidR="0021146B" w:rsidRPr="0021146B" w:rsidRDefault="0021146B" w:rsidP="00605CFF">
      <w:pPr>
        <w:pStyle w:val="Bibliography"/>
        <w:rPr>
          <w:lang w:val="en-GB"/>
        </w:rPr>
      </w:pPr>
      <w:r w:rsidRPr="0021146B">
        <w:rPr>
          <w:lang w:val="en-GB"/>
        </w:rPr>
        <w:t>EuroFound. 2019. “European Foundation for the Improvement of Living and Working Conditions.” Eurofound.Eu. December 3, 2019. https://www.eurofound.europa.eu/en/european-industrial-relations-dictionary/trade-union-density.</w:t>
      </w:r>
    </w:p>
    <w:p w14:paraId="53236A94" w14:textId="77777777" w:rsidR="0021146B" w:rsidRPr="0021146B" w:rsidRDefault="0021146B" w:rsidP="00605CFF">
      <w:pPr>
        <w:pStyle w:val="Bibliography"/>
        <w:rPr>
          <w:lang w:val="en-GB"/>
        </w:rPr>
      </w:pPr>
      <w:r w:rsidRPr="0021146B">
        <w:rPr>
          <w:lang w:val="en-GB"/>
        </w:rPr>
        <w:t>———. 2022. “Collective Bargaining Coverage | European Foundation for the Improvement of Living and Working Conditions.” Eurofound.Eu. December 15, 2022. https://www.eurofound.europa.eu/en/european-industrial-relations-dictionary/collective-bargaining-coverage.</w:t>
      </w:r>
    </w:p>
    <w:p w14:paraId="10BC86A6" w14:textId="77777777" w:rsidR="0021146B" w:rsidRPr="0021146B" w:rsidRDefault="0021146B" w:rsidP="00605CFF">
      <w:pPr>
        <w:pStyle w:val="Bibliography"/>
        <w:rPr>
          <w:lang w:val="en-GB"/>
        </w:rPr>
      </w:pPr>
      <w:r w:rsidRPr="0021146B">
        <w:rPr>
          <w:lang w:val="en-GB"/>
        </w:rPr>
        <w:t>George W. Angell. 1974. “Some Suggested Advantages and Disadvantages of Collective Bargaining.” https://eric.ed.gov/?id=ED097821.</w:t>
      </w:r>
    </w:p>
    <w:p w14:paraId="2B86460E" w14:textId="77777777" w:rsidR="0021146B" w:rsidRPr="0021146B" w:rsidRDefault="0021146B" w:rsidP="00605CFF">
      <w:pPr>
        <w:pStyle w:val="Bibliography"/>
        <w:rPr>
          <w:lang w:val="en-GB"/>
        </w:rPr>
      </w:pPr>
      <w:r w:rsidRPr="0021146B">
        <w:rPr>
          <w:lang w:val="en-GB"/>
        </w:rPr>
        <w:t>ILO. 2015. “Joint Effects of Minimum Wages and Collective Bargaining.” Document. December 3, 2015. https://www.ilo.org/global/topics/wages/minimum-wages/monitoring/WCMS_438883/lang--en/index.htm.</w:t>
      </w:r>
    </w:p>
    <w:p w14:paraId="593A3FF5" w14:textId="77777777" w:rsidR="0021146B" w:rsidRPr="0021146B" w:rsidRDefault="0021146B" w:rsidP="00605CFF">
      <w:pPr>
        <w:pStyle w:val="Bibliography"/>
        <w:rPr>
          <w:lang w:val="en-GB"/>
        </w:rPr>
      </w:pPr>
      <w:r w:rsidRPr="0021146B">
        <w:rPr>
          <w:lang w:val="en-GB"/>
        </w:rPr>
        <w:t>“Inequality - Income Inequality - OECD Data.” n.d. theOECD. Accessed April 2, 2024. http://data.oecd.org/inequality/income-inequality.htm.</w:t>
      </w:r>
    </w:p>
    <w:p w14:paraId="2AB46EAD" w14:textId="77777777" w:rsidR="0021146B" w:rsidRPr="0021146B" w:rsidRDefault="0021146B" w:rsidP="00605CFF">
      <w:pPr>
        <w:pStyle w:val="Bibliography"/>
        <w:rPr>
          <w:lang w:val="it-IT"/>
        </w:rPr>
      </w:pPr>
      <w:r w:rsidRPr="0021146B">
        <w:rPr>
          <w:lang w:val="en-GB"/>
        </w:rPr>
        <w:t xml:space="preserve">Jelle Visser. 2019. “Trade Unions in the Balance.” </w:t>
      </w:r>
      <w:r w:rsidRPr="0021146B">
        <w:rPr>
          <w:lang w:val="it-IT"/>
        </w:rPr>
        <w:t>ILO.org. ILO. https://webapps.ilo.org/wcmsp5/groups/public/---ed_dialogue/---actrav/documents/publication/wcms_722482.pdf.</w:t>
      </w:r>
    </w:p>
    <w:p w14:paraId="6706A010" w14:textId="77777777" w:rsidR="0021146B" w:rsidRPr="0021146B" w:rsidRDefault="0021146B" w:rsidP="00605CFF">
      <w:pPr>
        <w:pStyle w:val="Bibliography"/>
        <w:rPr>
          <w:lang w:val="en-GB"/>
        </w:rPr>
      </w:pPr>
      <w:r w:rsidRPr="0021146B">
        <w:rPr>
          <w:lang w:val="en-GB"/>
        </w:rPr>
        <w:t xml:space="preserve">Onaran, Özlem, and Alexander Guschanski. 2018. “What Drives the Four Decades-Long Decline in Labour’s Share of Income?” </w:t>
      </w:r>
      <w:r w:rsidRPr="0021146B">
        <w:rPr>
          <w:i/>
          <w:iCs/>
          <w:lang w:val="en-GB"/>
        </w:rPr>
        <w:t>Greenwich Papers in Political Economy</w:t>
      </w:r>
      <w:r w:rsidRPr="0021146B">
        <w:rPr>
          <w:lang w:val="en-GB"/>
        </w:rPr>
        <w:t>, Greenwich Papers in Political Economy, , March. https://ideas.repec.org//p/gpe/wpaper/19372.html.</w:t>
      </w:r>
    </w:p>
    <w:p w14:paraId="04376F04" w14:textId="77777777" w:rsidR="0021146B" w:rsidRPr="0021146B" w:rsidRDefault="0021146B" w:rsidP="00605CFF">
      <w:pPr>
        <w:pStyle w:val="Bibliography"/>
        <w:rPr>
          <w:lang w:val="en-GB"/>
        </w:rPr>
      </w:pPr>
      <w:r w:rsidRPr="0021146B">
        <w:rPr>
          <w:lang w:val="en-GB"/>
        </w:rPr>
        <w:t xml:space="preserve">Trapeznikova, Ija. 2019. “Measuring Income Inequality.” </w:t>
      </w:r>
      <w:r w:rsidRPr="0021146B">
        <w:rPr>
          <w:i/>
          <w:iCs/>
          <w:lang w:val="en-GB"/>
        </w:rPr>
        <w:t>IZA World of Labor</w:t>
      </w:r>
      <w:r w:rsidRPr="0021146B">
        <w:rPr>
          <w:lang w:val="en-GB"/>
        </w:rPr>
        <w:t>, July. https://doi.org/10.15185/izawol.462.</w:t>
      </w:r>
    </w:p>
    <w:p w14:paraId="208FFA56" w14:textId="53469A60" w:rsidR="000B0190" w:rsidRPr="00806E9C" w:rsidRDefault="00F57DF5" w:rsidP="00605CFF">
      <w:pPr>
        <w:rPr>
          <w:lang w:eastAsia="en-US"/>
        </w:rPr>
      </w:pPr>
      <w:r>
        <w:rPr>
          <w:lang w:eastAsia="en-US"/>
        </w:rPr>
        <w:fldChar w:fldCharType="end"/>
      </w:r>
    </w:p>
    <w:sectPr w:rsidR="000B0190" w:rsidRPr="00806E9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372F46" w14:textId="77777777" w:rsidR="008676CD" w:rsidRDefault="008676CD" w:rsidP="00605CFF">
      <w:r>
        <w:separator/>
      </w:r>
    </w:p>
  </w:endnote>
  <w:endnote w:type="continuationSeparator" w:id="0">
    <w:p w14:paraId="6ED5DB7A" w14:textId="77777777" w:rsidR="008676CD" w:rsidRDefault="008676CD" w:rsidP="00605C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4DF5AF" w14:textId="77777777" w:rsidR="008676CD" w:rsidRDefault="008676CD" w:rsidP="00605CFF">
      <w:r>
        <w:separator/>
      </w:r>
    </w:p>
  </w:footnote>
  <w:footnote w:type="continuationSeparator" w:id="0">
    <w:p w14:paraId="2ADAA54D" w14:textId="77777777" w:rsidR="008676CD" w:rsidRDefault="008676CD" w:rsidP="00605CFF">
      <w:r>
        <w:continuationSeparator/>
      </w:r>
    </w:p>
  </w:footnote>
  <w:footnote w:id="1">
    <w:p w14:paraId="494619DC" w14:textId="7306725E" w:rsidR="00887C08" w:rsidRPr="00887C08" w:rsidRDefault="00887C08" w:rsidP="00605CFF">
      <w:pPr>
        <w:pStyle w:val="FootnoteText"/>
        <w:rPr>
          <w:lang w:val="en-US"/>
        </w:rPr>
      </w:pPr>
      <w:r>
        <w:rPr>
          <w:rStyle w:val="FootnoteReference"/>
        </w:rPr>
        <w:footnoteRef/>
      </w:r>
      <w:r>
        <w:t xml:space="preserve"> </w:t>
      </w:r>
      <w:r w:rsidRPr="00887C08">
        <w:rPr>
          <w:lang w:val="en-US"/>
        </w:rPr>
        <w:t>The dataset can be accessed via this website: https://worldjusticeproject.org/rule-of-law-index/</w:t>
      </w:r>
      <w:r>
        <w:rPr>
          <w:lang w:val="en-US"/>
        </w:rPr>
        <w:t>.</w:t>
      </w:r>
      <w:r w:rsidRPr="00887C08">
        <w:rPr>
          <w:lang w:val="en-US"/>
        </w:rP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E96CBC"/>
    <w:multiLevelType w:val="hybridMultilevel"/>
    <w:tmpl w:val="789696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51934823"/>
    <w:multiLevelType w:val="multilevel"/>
    <w:tmpl w:val="30C6AC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F1E3A84"/>
    <w:multiLevelType w:val="multilevel"/>
    <w:tmpl w:val="4726C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6014B7F"/>
    <w:multiLevelType w:val="multilevel"/>
    <w:tmpl w:val="2F148A0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num w:numId="1" w16cid:durableId="1699356514">
    <w:abstractNumId w:val="3"/>
  </w:num>
  <w:num w:numId="2" w16cid:durableId="910119006">
    <w:abstractNumId w:val="1"/>
  </w:num>
  <w:num w:numId="3" w16cid:durableId="242030156">
    <w:abstractNumId w:val="0"/>
  </w:num>
  <w:num w:numId="4" w16cid:durableId="196924244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7BE7"/>
    <w:rsid w:val="00012222"/>
    <w:rsid w:val="0004693C"/>
    <w:rsid w:val="00065A06"/>
    <w:rsid w:val="00081D97"/>
    <w:rsid w:val="00082EAC"/>
    <w:rsid w:val="00083B58"/>
    <w:rsid w:val="000B0190"/>
    <w:rsid w:val="001144E9"/>
    <w:rsid w:val="00115CF4"/>
    <w:rsid w:val="0014366A"/>
    <w:rsid w:val="00167F48"/>
    <w:rsid w:val="0017753D"/>
    <w:rsid w:val="00187C0F"/>
    <w:rsid w:val="00190178"/>
    <w:rsid w:val="001B1B74"/>
    <w:rsid w:val="001B2035"/>
    <w:rsid w:val="001B4C76"/>
    <w:rsid w:val="001D0D0A"/>
    <w:rsid w:val="001E3058"/>
    <w:rsid w:val="0021146B"/>
    <w:rsid w:val="002354DF"/>
    <w:rsid w:val="002866C4"/>
    <w:rsid w:val="002B4739"/>
    <w:rsid w:val="00313623"/>
    <w:rsid w:val="00313730"/>
    <w:rsid w:val="00314868"/>
    <w:rsid w:val="0033155B"/>
    <w:rsid w:val="003323CA"/>
    <w:rsid w:val="003C6B4C"/>
    <w:rsid w:val="003D199C"/>
    <w:rsid w:val="003D3CA8"/>
    <w:rsid w:val="003D7517"/>
    <w:rsid w:val="003D7EE3"/>
    <w:rsid w:val="00423612"/>
    <w:rsid w:val="00426B33"/>
    <w:rsid w:val="00440632"/>
    <w:rsid w:val="004701C9"/>
    <w:rsid w:val="004B27B1"/>
    <w:rsid w:val="004B6718"/>
    <w:rsid w:val="004D41E2"/>
    <w:rsid w:val="004F1E06"/>
    <w:rsid w:val="00523E2A"/>
    <w:rsid w:val="0052667B"/>
    <w:rsid w:val="00526FD6"/>
    <w:rsid w:val="00542CB9"/>
    <w:rsid w:val="0055413F"/>
    <w:rsid w:val="0058284B"/>
    <w:rsid w:val="005921CD"/>
    <w:rsid w:val="005D0832"/>
    <w:rsid w:val="005E3A7B"/>
    <w:rsid w:val="005F7728"/>
    <w:rsid w:val="00605CFF"/>
    <w:rsid w:val="00611974"/>
    <w:rsid w:val="006210BE"/>
    <w:rsid w:val="00621658"/>
    <w:rsid w:val="006409F2"/>
    <w:rsid w:val="00643F01"/>
    <w:rsid w:val="00671DC2"/>
    <w:rsid w:val="00683488"/>
    <w:rsid w:val="006862CE"/>
    <w:rsid w:val="006A2909"/>
    <w:rsid w:val="006B6E44"/>
    <w:rsid w:val="006C0947"/>
    <w:rsid w:val="006D51F4"/>
    <w:rsid w:val="006D60D5"/>
    <w:rsid w:val="007A2728"/>
    <w:rsid w:val="007B749B"/>
    <w:rsid w:val="007C0842"/>
    <w:rsid w:val="007D67B9"/>
    <w:rsid w:val="00802FA8"/>
    <w:rsid w:val="00806E9C"/>
    <w:rsid w:val="00815CFD"/>
    <w:rsid w:val="00826913"/>
    <w:rsid w:val="00865C73"/>
    <w:rsid w:val="008676CD"/>
    <w:rsid w:val="0087029C"/>
    <w:rsid w:val="008704E2"/>
    <w:rsid w:val="00887C08"/>
    <w:rsid w:val="008C1946"/>
    <w:rsid w:val="008D3A76"/>
    <w:rsid w:val="00903757"/>
    <w:rsid w:val="00946350"/>
    <w:rsid w:val="00954D4E"/>
    <w:rsid w:val="009C730E"/>
    <w:rsid w:val="009D1035"/>
    <w:rsid w:val="009D4F26"/>
    <w:rsid w:val="00A0007C"/>
    <w:rsid w:val="00A0088C"/>
    <w:rsid w:val="00A374CB"/>
    <w:rsid w:val="00A43213"/>
    <w:rsid w:val="00A5231F"/>
    <w:rsid w:val="00A742CF"/>
    <w:rsid w:val="00A97352"/>
    <w:rsid w:val="00AD1D2C"/>
    <w:rsid w:val="00B214E6"/>
    <w:rsid w:val="00B22966"/>
    <w:rsid w:val="00B23D49"/>
    <w:rsid w:val="00B30794"/>
    <w:rsid w:val="00B32E0A"/>
    <w:rsid w:val="00BC3DC1"/>
    <w:rsid w:val="00BF410D"/>
    <w:rsid w:val="00C16360"/>
    <w:rsid w:val="00C26604"/>
    <w:rsid w:val="00C6756E"/>
    <w:rsid w:val="00C72F12"/>
    <w:rsid w:val="00C76C36"/>
    <w:rsid w:val="00C80E20"/>
    <w:rsid w:val="00CF20AB"/>
    <w:rsid w:val="00D305C0"/>
    <w:rsid w:val="00D45E28"/>
    <w:rsid w:val="00D620F3"/>
    <w:rsid w:val="00DE554C"/>
    <w:rsid w:val="00E23279"/>
    <w:rsid w:val="00E463EF"/>
    <w:rsid w:val="00E54367"/>
    <w:rsid w:val="00E6006B"/>
    <w:rsid w:val="00E75B79"/>
    <w:rsid w:val="00ED10FF"/>
    <w:rsid w:val="00F003D2"/>
    <w:rsid w:val="00F300BA"/>
    <w:rsid w:val="00F57DF5"/>
    <w:rsid w:val="00F669CF"/>
    <w:rsid w:val="00F73358"/>
    <w:rsid w:val="00F84784"/>
    <w:rsid w:val="00FA1E60"/>
    <w:rsid w:val="00FA7BE7"/>
    <w:rsid w:val="00FB0494"/>
    <w:rsid w:val="00FD747B"/>
    <w:rsid w:val="00FF2315"/>
  </w:rsids>
  <m:mathPr>
    <m:mathFont m:val="Cambria Math"/>
    <m:brkBin m:val="before"/>
    <m:brkBinSub m:val="--"/>
    <m:smallFrac m:val="0"/>
    <m:dispDef/>
    <m:lMargin m:val="0"/>
    <m:rMargin m:val="0"/>
    <m:defJc m:val="centerGroup"/>
    <m:wrapIndent m:val="1440"/>
    <m:intLim m:val="subSup"/>
    <m:naryLim m:val="undOvr"/>
  </m:mathPr>
  <w:themeFontLang w:val="en-IT"/>
  <w:clrSchemeMapping w:bg1="light1" w:t1="dark1" w:bg2="light2" w:t2="dark2" w:accent1="accent1" w:accent2="accent2" w:accent3="accent3" w:accent4="accent4" w:accent5="accent5" w:accent6="accent6" w:hyperlink="hyperlink" w:followedHyperlink="followedHyperlink"/>
  <w:decimalSymbol w:val=","/>
  <w:listSeparator w:val=","/>
  <w14:docId w14:val="02B17150"/>
  <w15:chartTrackingRefBased/>
  <w15:docId w15:val="{AA4911AF-403C-DC48-869F-24A633B057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T"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5CFF"/>
    <w:pPr>
      <w:spacing w:after="0" w:line="276" w:lineRule="auto"/>
      <w:jc w:val="both"/>
    </w:pPr>
    <w:rPr>
      <w:rFonts w:ascii="Times New Roman" w:eastAsia="Times New Roman" w:hAnsi="Times New Roman" w:cs="Times New Roman"/>
      <w:kern w:val="0"/>
      <w:lang w:eastAsia="en-GB"/>
      <w14:ligatures w14:val="none"/>
    </w:rPr>
  </w:style>
  <w:style w:type="paragraph" w:styleId="Heading1">
    <w:name w:val="heading 1"/>
    <w:basedOn w:val="Normal"/>
    <w:next w:val="Normal"/>
    <w:link w:val="Heading1Char"/>
    <w:uiPriority w:val="9"/>
    <w:qFormat/>
    <w:rsid w:val="00BC3DC1"/>
    <w:pPr>
      <w:keepNext/>
      <w:keepLines/>
      <w:spacing w:before="360" w:after="80" w:line="278" w:lineRule="auto"/>
      <w:outlineLvl w:val="0"/>
    </w:pPr>
    <w:rPr>
      <w:rFonts w:eastAsiaTheme="majorEastAsia" w:cstheme="majorBidi"/>
      <w:b/>
      <w:color w:val="000000" w:themeColor="text1"/>
      <w:kern w:val="2"/>
      <w:sz w:val="48"/>
      <w:szCs w:val="40"/>
      <w:lang w:eastAsia="en-US"/>
      <w14:ligatures w14:val="standardContextual"/>
    </w:rPr>
  </w:style>
  <w:style w:type="paragraph" w:styleId="Heading2">
    <w:name w:val="heading 2"/>
    <w:basedOn w:val="Normal"/>
    <w:next w:val="Normal"/>
    <w:link w:val="Heading2Char"/>
    <w:uiPriority w:val="9"/>
    <w:unhideWhenUsed/>
    <w:qFormat/>
    <w:rsid w:val="00BC3DC1"/>
    <w:pPr>
      <w:keepNext/>
      <w:keepLines/>
      <w:spacing w:before="160" w:after="80" w:line="278" w:lineRule="auto"/>
      <w:outlineLvl w:val="1"/>
    </w:pPr>
    <w:rPr>
      <w:rFonts w:eastAsiaTheme="majorEastAsia" w:cstheme="majorBidi"/>
      <w:b/>
      <w:color w:val="000000" w:themeColor="text1"/>
      <w:kern w:val="2"/>
      <w:sz w:val="36"/>
      <w:szCs w:val="32"/>
      <w:lang w:eastAsia="en-US"/>
      <w14:ligatures w14:val="standardContextual"/>
    </w:rPr>
  </w:style>
  <w:style w:type="paragraph" w:styleId="Heading3">
    <w:name w:val="heading 3"/>
    <w:basedOn w:val="Heading2"/>
    <w:next w:val="Normal"/>
    <w:link w:val="Heading3Char"/>
    <w:uiPriority w:val="9"/>
    <w:unhideWhenUsed/>
    <w:qFormat/>
    <w:rsid w:val="001144E9"/>
    <w:pPr>
      <w:outlineLvl w:val="2"/>
    </w:pPr>
    <w:rPr>
      <w:sz w:val="32"/>
    </w:rPr>
  </w:style>
  <w:style w:type="paragraph" w:styleId="Heading4">
    <w:name w:val="heading 4"/>
    <w:basedOn w:val="Normal"/>
    <w:next w:val="Normal"/>
    <w:link w:val="Heading4Char"/>
    <w:uiPriority w:val="9"/>
    <w:semiHidden/>
    <w:unhideWhenUsed/>
    <w:qFormat/>
    <w:rsid w:val="00FA7BE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A7BE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A7BE7"/>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A7BE7"/>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A7BE7"/>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A7BE7"/>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C3DC1"/>
    <w:rPr>
      <w:rFonts w:ascii="Times New Roman" w:eastAsiaTheme="majorEastAsia" w:hAnsi="Times New Roman" w:cstheme="majorBidi"/>
      <w:b/>
      <w:color w:val="000000" w:themeColor="text1"/>
      <w:sz w:val="48"/>
      <w:szCs w:val="40"/>
    </w:rPr>
  </w:style>
  <w:style w:type="character" w:customStyle="1" w:styleId="Heading2Char">
    <w:name w:val="Heading 2 Char"/>
    <w:basedOn w:val="DefaultParagraphFont"/>
    <w:link w:val="Heading2"/>
    <w:uiPriority w:val="9"/>
    <w:rsid w:val="00BC3DC1"/>
    <w:rPr>
      <w:rFonts w:ascii="Times New Roman" w:eastAsiaTheme="majorEastAsia" w:hAnsi="Times New Roman" w:cstheme="majorBidi"/>
      <w:b/>
      <w:color w:val="000000" w:themeColor="text1"/>
      <w:sz w:val="36"/>
      <w:szCs w:val="32"/>
    </w:rPr>
  </w:style>
  <w:style w:type="character" w:customStyle="1" w:styleId="Heading3Char">
    <w:name w:val="Heading 3 Char"/>
    <w:basedOn w:val="DefaultParagraphFont"/>
    <w:link w:val="Heading3"/>
    <w:uiPriority w:val="9"/>
    <w:rsid w:val="001144E9"/>
    <w:rPr>
      <w:rFonts w:ascii="Times New Roman" w:eastAsiaTheme="majorEastAsia" w:hAnsi="Times New Roman" w:cstheme="majorBidi"/>
      <w:b/>
      <w:color w:val="000000" w:themeColor="text1"/>
      <w:sz w:val="32"/>
      <w:szCs w:val="32"/>
    </w:rPr>
  </w:style>
  <w:style w:type="character" w:customStyle="1" w:styleId="Heading4Char">
    <w:name w:val="Heading 4 Char"/>
    <w:basedOn w:val="DefaultParagraphFont"/>
    <w:link w:val="Heading4"/>
    <w:uiPriority w:val="9"/>
    <w:semiHidden/>
    <w:rsid w:val="00FA7BE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A7BE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A7BE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A7BE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A7BE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A7BE7"/>
    <w:rPr>
      <w:rFonts w:eastAsiaTheme="majorEastAsia" w:cstheme="majorBidi"/>
      <w:color w:val="272727" w:themeColor="text1" w:themeTint="D8"/>
    </w:rPr>
  </w:style>
  <w:style w:type="paragraph" w:styleId="Title">
    <w:name w:val="Title"/>
    <w:basedOn w:val="Normal"/>
    <w:next w:val="Normal"/>
    <w:link w:val="TitleChar"/>
    <w:uiPriority w:val="10"/>
    <w:qFormat/>
    <w:rsid w:val="00FA7BE7"/>
    <w:pPr>
      <w:spacing w:after="80"/>
      <w:contextualSpacing/>
    </w:pPr>
    <w:rPr>
      <w:rFonts w:asciiTheme="majorHAnsi" w:eastAsiaTheme="majorEastAsia" w:hAnsiTheme="majorHAnsi" w:cstheme="majorBidi"/>
      <w:spacing w:val="-10"/>
      <w:kern w:val="28"/>
      <w:sz w:val="56"/>
      <w:szCs w:val="56"/>
      <w:lang w:eastAsia="en-US"/>
      <w14:ligatures w14:val="standardContextual"/>
    </w:rPr>
  </w:style>
  <w:style w:type="character" w:customStyle="1" w:styleId="TitleChar">
    <w:name w:val="Title Char"/>
    <w:basedOn w:val="DefaultParagraphFont"/>
    <w:link w:val="Title"/>
    <w:uiPriority w:val="10"/>
    <w:rsid w:val="00FA7BE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A7BE7"/>
    <w:pPr>
      <w:numPr>
        <w:ilvl w:val="1"/>
      </w:numPr>
      <w:spacing w:after="160" w:line="278" w:lineRule="auto"/>
    </w:pPr>
    <w:rPr>
      <w:rFonts w:eastAsiaTheme="majorEastAsia" w:cstheme="majorBidi"/>
      <w:color w:val="595959" w:themeColor="text1" w:themeTint="A6"/>
      <w:spacing w:val="15"/>
      <w:kern w:val="2"/>
      <w:sz w:val="28"/>
      <w:szCs w:val="28"/>
      <w:lang w:eastAsia="en-US"/>
      <w14:ligatures w14:val="standardContextual"/>
    </w:rPr>
  </w:style>
  <w:style w:type="character" w:customStyle="1" w:styleId="SubtitleChar">
    <w:name w:val="Subtitle Char"/>
    <w:basedOn w:val="DefaultParagraphFont"/>
    <w:link w:val="Subtitle"/>
    <w:uiPriority w:val="11"/>
    <w:rsid w:val="00FA7BE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A7BE7"/>
    <w:pPr>
      <w:spacing w:before="160" w:after="160" w:line="278" w:lineRule="auto"/>
      <w:jc w:val="center"/>
    </w:pPr>
    <w:rPr>
      <w:rFonts w:eastAsiaTheme="minorHAnsi" w:cstheme="minorBidi"/>
      <w:i/>
      <w:iCs/>
      <w:color w:val="404040" w:themeColor="text1" w:themeTint="BF"/>
      <w:kern w:val="2"/>
      <w:lang w:eastAsia="en-US"/>
      <w14:ligatures w14:val="standardContextual"/>
    </w:rPr>
  </w:style>
  <w:style w:type="character" w:customStyle="1" w:styleId="QuoteChar">
    <w:name w:val="Quote Char"/>
    <w:basedOn w:val="DefaultParagraphFont"/>
    <w:link w:val="Quote"/>
    <w:uiPriority w:val="29"/>
    <w:rsid w:val="00FA7BE7"/>
    <w:rPr>
      <w:i/>
      <w:iCs/>
      <w:color w:val="404040" w:themeColor="text1" w:themeTint="BF"/>
    </w:rPr>
  </w:style>
  <w:style w:type="paragraph" w:styleId="ListParagraph">
    <w:name w:val="List Paragraph"/>
    <w:basedOn w:val="Normal"/>
    <w:uiPriority w:val="34"/>
    <w:qFormat/>
    <w:rsid w:val="00FA7BE7"/>
    <w:pPr>
      <w:spacing w:after="160" w:line="278" w:lineRule="auto"/>
      <w:ind w:left="720"/>
      <w:contextualSpacing/>
    </w:pPr>
    <w:rPr>
      <w:rFonts w:eastAsiaTheme="minorHAnsi" w:cstheme="minorBidi"/>
      <w:kern w:val="2"/>
      <w:lang w:eastAsia="en-US"/>
      <w14:ligatures w14:val="standardContextual"/>
    </w:rPr>
  </w:style>
  <w:style w:type="character" w:styleId="IntenseEmphasis">
    <w:name w:val="Intense Emphasis"/>
    <w:basedOn w:val="DefaultParagraphFont"/>
    <w:uiPriority w:val="21"/>
    <w:qFormat/>
    <w:rsid w:val="00FA7BE7"/>
    <w:rPr>
      <w:i/>
      <w:iCs/>
      <w:color w:val="0F4761" w:themeColor="accent1" w:themeShade="BF"/>
    </w:rPr>
  </w:style>
  <w:style w:type="paragraph" w:styleId="IntenseQuote">
    <w:name w:val="Intense Quote"/>
    <w:basedOn w:val="Normal"/>
    <w:next w:val="Normal"/>
    <w:link w:val="IntenseQuoteChar"/>
    <w:uiPriority w:val="30"/>
    <w:qFormat/>
    <w:rsid w:val="00FA7BE7"/>
    <w:pPr>
      <w:pBdr>
        <w:top w:val="single" w:sz="4" w:space="10" w:color="0F4761" w:themeColor="accent1" w:themeShade="BF"/>
        <w:bottom w:val="single" w:sz="4" w:space="10" w:color="0F4761" w:themeColor="accent1" w:themeShade="BF"/>
      </w:pBdr>
      <w:spacing w:before="360" w:after="360" w:line="278" w:lineRule="auto"/>
      <w:ind w:left="864" w:right="864"/>
      <w:jc w:val="center"/>
    </w:pPr>
    <w:rPr>
      <w:rFonts w:eastAsiaTheme="minorHAnsi" w:cstheme="minorBidi"/>
      <w:i/>
      <w:iCs/>
      <w:color w:val="0F4761" w:themeColor="accent1" w:themeShade="BF"/>
      <w:kern w:val="2"/>
      <w:lang w:eastAsia="en-US"/>
      <w14:ligatures w14:val="standardContextual"/>
    </w:rPr>
  </w:style>
  <w:style w:type="character" w:customStyle="1" w:styleId="IntenseQuoteChar">
    <w:name w:val="Intense Quote Char"/>
    <w:basedOn w:val="DefaultParagraphFont"/>
    <w:link w:val="IntenseQuote"/>
    <w:uiPriority w:val="30"/>
    <w:rsid w:val="00FA7BE7"/>
    <w:rPr>
      <w:i/>
      <w:iCs/>
      <w:color w:val="0F4761" w:themeColor="accent1" w:themeShade="BF"/>
    </w:rPr>
  </w:style>
  <w:style w:type="character" w:styleId="IntenseReference">
    <w:name w:val="Intense Reference"/>
    <w:basedOn w:val="DefaultParagraphFont"/>
    <w:uiPriority w:val="32"/>
    <w:qFormat/>
    <w:rsid w:val="00FA7BE7"/>
    <w:rPr>
      <w:b/>
      <w:bCs/>
      <w:smallCaps/>
      <w:color w:val="0F4761" w:themeColor="accent1" w:themeShade="BF"/>
      <w:spacing w:val="5"/>
    </w:rPr>
  </w:style>
  <w:style w:type="paragraph" w:styleId="NormalWeb">
    <w:name w:val="Normal (Web)"/>
    <w:basedOn w:val="Normal"/>
    <w:uiPriority w:val="99"/>
    <w:unhideWhenUsed/>
    <w:rsid w:val="00BC3DC1"/>
    <w:pPr>
      <w:spacing w:before="100" w:beforeAutospacing="1" w:after="100" w:afterAutospacing="1"/>
    </w:pPr>
  </w:style>
  <w:style w:type="paragraph" w:styleId="z-TopofForm">
    <w:name w:val="HTML Top of Form"/>
    <w:basedOn w:val="Normal"/>
    <w:next w:val="Normal"/>
    <w:link w:val="z-TopofFormChar"/>
    <w:hidden/>
    <w:uiPriority w:val="99"/>
    <w:semiHidden/>
    <w:unhideWhenUsed/>
    <w:rsid w:val="007C0842"/>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7C0842"/>
    <w:rPr>
      <w:rFonts w:ascii="Arial" w:eastAsia="Times New Roman" w:hAnsi="Arial" w:cs="Arial"/>
      <w:vanish/>
      <w:kern w:val="0"/>
      <w:sz w:val="16"/>
      <w:szCs w:val="16"/>
      <w:lang w:eastAsia="en-GB"/>
      <w14:ligatures w14:val="none"/>
    </w:rPr>
  </w:style>
  <w:style w:type="paragraph" w:styleId="z-BottomofForm">
    <w:name w:val="HTML Bottom of Form"/>
    <w:basedOn w:val="Normal"/>
    <w:next w:val="Normal"/>
    <w:link w:val="z-BottomofFormChar"/>
    <w:hidden/>
    <w:uiPriority w:val="99"/>
    <w:unhideWhenUsed/>
    <w:rsid w:val="007C0842"/>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rsid w:val="007C0842"/>
    <w:rPr>
      <w:rFonts w:ascii="Arial" w:eastAsia="Times New Roman" w:hAnsi="Arial" w:cs="Arial"/>
      <w:vanish/>
      <w:kern w:val="0"/>
      <w:sz w:val="16"/>
      <w:szCs w:val="16"/>
      <w:lang w:eastAsia="en-GB"/>
      <w14:ligatures w14:val="none"/>
    </w:rPr>
  </w:style>
  <w:style w:type="paragraph" w:styleId="NoSpacing">
    <w:name w:val="No Spacing"/>
    <w:uiPriority w:val="1"/>
    <w:qFormat/>
    <w:rsid w:val="00CF20AB"/>
    <w:pPr>
      <w:spacing w:after="0" w:line="240" w:lineRule="auto"/>
    </w:pPr>
    <w:rPr>
      <w:rFonts w:ascii="Times New Roman" w:hAnsi="Times New Roman"/>
    </w:rPr>
  </w:style>
  <w:style w:type="character" w:styleId="HTMLCode">
    <w:name w:val="HTML Code"/>
    <w:basedOn w:val="DefaultParagraphFont"/>
    <w:uiPriority w:val="99"/>
    <w:semiHidden/>
    <w:unhideWhenUsed/>
    <w:rsid w:val="009D4F26"/>
    <w:rPr>
      <w:rFonts w:ascii="Courier New" w:eastAsia="Times New Roman" w:hAnsi="Courier New" w:cs="Courier New"/>
      <w:sz w:val="20"/>
      <w:szCs w:val="20"/>
    </w:rPr>
  </w:style>
  <w:style w:type="character" w:styleId="Strong">
    <w:name w:val="Strong"/>
    <w:basedOn w:val="DefaultParagraphFont"/>
    <w:uiPriority w:val="22"/>
    <w:qFormat/>
    <w:rsid w:val="001D0D0A"/>
    <w:rPr>
      <w:b/>
      <w:bCs/>
    </w:rPr>
  </w:style>
  <w:style w:type="paragraph" w:styleId="Bibliography">
    <w:name w:val="Bibliography"/>
    <w:basedOn w:val="Normal"/>
    <w:next w:val="Normal"/>
    <w:uiPriority w:val="37"/>
    <w:unhideWhenUsed/>
    <w:rsid w:val="00F57DF5"/>
  </w:style>
  <w:style w:type="paragraph" w:styleId="FootnoteText">
    <w:name w:val="footnote text"/>
    <w:basedOn w:val="Normal"/>
    <w:link w:val="FootnoteTextChar"/>
    <w:uiPriority w:val="99"/>
    <w:unhideWhenUsed/>
    <w:rsid w:val="00887C08"/>
    <w:pPr>
      <w:spacing w:line="240" w:lineRule="auto"/>
    </w:pPr>
    <w:rPr>
      <w:sz w:val="20"/>
      <w:szCs w:val="20"/>
    </w:rPr>
  </w:style>
  <w:style w:type="character" w:customStyle="1" w:styleId="FootnoteTextChar">
    <w:name w:val="Footnote Text Char"/>
    <w:basedOn w:val="DefaultParagraphFont"/>
    <w:link w:val="FootnoteText"/>
    <w:uiPriority w:val="99"/>
    <w:rsid w:val="00887C08"/>
    <w:rPr>
      <w:rFonts w:ascii="Times New Roman" w:eastAsia="Times New Roman" w:hAnsi="Times New Roman" w:cs="Times New Roman"/>
      <w:kern w:val="0"/>
      <w:sz w:val="20"/>
      <w:szCs w:val="20"/>
      <w:lang w:eastAsia="en-GB"/>
      <w14:ligatures w14:val="none"/>
    </w:rPr>
  </w:style>
  <w:style w:type="character" w:styleId="FootnoteReference">
    <w:name w:val="footnote reference"/>
    <w:basedOn w:val="DefaultParagraphFont"/>
    <w:uiPriority w:val="99"/>
    <w:semiHidden/>
    <w:unhideWhenUsed/>
    <w:rsid w:val="00887C08"/>
    <w:rPr>
      <w:vertAlign w:val="superscript"/>
    </w:rPr>
  </w:style>
  <w:style w:type="character" w:styleId="PlaceholderText">
    <w:name w:val="Placeholder Text"/>
    <w:basedOn w:val="DefaultParagraphFont"/>
    <w:uiPriority w:val="99"/>
    <w:semiHidden/>
    <w:rsid w:val="0058284B"/>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490032">
      <w:bodyDiv w:val="1"/>
      <w:marLeft w:val="0"/>
      <w:marRight w:val="0"/>
      <w:marTop w:val="0"/>
      <w:marBottom w:val="0"/>
      <w:divBdr>
        <w:top w:val="none" w:sz="0" w:space="0" w:color="auto"/>
        <w:left w:val="none" w:sz="0" w:space="0" w:color="auto"/>
        <w:bottom w:val="none" w:sz="0" w:space="0" w:color="auto"/>
        <w:right w:val="none" w:sz="0" w:space="0" w:color="auto"/>
      </w:divBdr>
      <w:divsChild>
        <w:div w:id="495388305">
          <w:marLeft w:val="0"/>
          <w:marRight w:val="0"/>
          <w:marTop w:val="0"/>
          <w:marBottom w:val="0"/>
          <w:divBdr>
            <w:top w:val="single" w:sz="2" w:space="0" w:color="E3E3E3"/>
            <w:left w:val="single" w:sz="2" w:space="0" w:color="E3E3E3"/>
            <w:bottom w:val="single" w:sz="2" w:space="0" w:color="E3E3E3"/>
            <w:right w:val="single" w:sz="2" w:space="0" w:color="E3E3E3"/>
          </w:divBdr>
          <w:divsChild>
            <w:div w:id="1913612850">
              <w:marLeft w:val="0"/>
              <w:marRight w:val="0"/>
              <w:marTop w:val="0"/>
              <w:marBottom w:val="0"/>
              <w:divBdr>
                <w:top w:val="single" w:sz="2" w:space="0" w:color="E3E3E3"/>
                <w:left w:val="single" w:sz="2" w:space="0" w:color="E3E3E3"/>
                <w:bottom w:val="single" w:sz="2" w:space="0" w:color="E3E3E3"/>
                <w:right w:val="single" w:sz="2" w:space="0" w:color="E3E3E3"/>
              </w:divBdr>
              <w:divsChild>
                <w:div w:id="1290359490">
                  <w:marLeft w:val="0"/>
                  <w:marRight w:val="0"/>
                  <w:marTop w:val="0"/>
                  <w:marBottom w:val="0"/>
                  <w:divBdr>
                    <w:top w:val="single" w:sz="2" w:space="0" w:color="E3E3E3"/>
                    <w:left w:val="single" w:sz="2" w:space="0" w:color="E3E3E3"/>
                    <w:bottom w:val="single" w:sz="2" w:space="0" w:color="E3E3E3"/>
                    <w:right w:val="single" w:sz="2" w:space="0" w:color="E3E3E3"/>
                  </w:divBdr>
                  <w:divsChild>
                    <w:div w:id="1507088869">
                      <w:marLeft w:val="0"/>
                      <w:marRight w:val="0"/>
                      <w:marTop w:val="0"/>
                      <w:marBottom w:val="0"/>
                      <w:divBdr>
                        <w:top w:val="single" w:sz="2" w:space="0" w:color="E3E3E3"/>
                        <w:left w:val="single" w:sz="2" w:space="0" w:color="E3E3E3"/>
                        <w:bottom w:val="single" w:sz="2" w:space="0" w:color="E3E3E3"/>
                        <w:right w:val="single" w:sz="2" w:space="0" w:color="E3E3E3"/>
                      </w:divBdr>
                      <w:divsChild>
                        <w:div w:id="727652146">
                          <w:marLeft w:val="0"/>
                          <w:marRight w:val="0"/>
                          <w:marTop w:val="0"/>
                          <w:marBottom w:val="0"/>
                          <w:divBdr>
                            <w:top w:val="single" w:sz="2" w:space="0" w:color="E3E3E3"/>
                            <w:left w:val="single" w:sz="2" w:space="0" w:color="E3E3E3"/>
                            <w:bottom w:val="single" w:sz="2" w:space="0" w:color="E3E3E3"/>
                            <w:right w:val="single" w:sz="2" w:space="0" w:color="E3E3E3"/>
                          </w:divBdr>
                          <w:divsChild>
                            <w:div w:id="1989282531">
                              <w:marLeft w:val="0"/>
                              <w:marRight w:val="0"/>
                              <w:marTop w:val="0"/>
                              <w:marBottom w:val="0"/>
                              <w:divBdr>
                                <w:top w:val="single" w:sz="2" w:space="0" w:color="E3E3E3"/>
                                <w:left w:val="single" w:sz="2" w:space="0" w:color="E3E3E3"/>
                                <w:bottom w:val="single" w:sz="2" w:space="0" w:color="E3E3E3"/>
                                <w:right w:val="single" w:sz="2" w:space="0" w:color="E3E3E3"/>
                              </w:divBdr>
                              <w:divsChild>
                                <w:div w:id="1989556551">
                                  <w:marLeft w:val="0"/>
                                  <w:marRight w:val="0"/>
                                  <w:marTop w:val="100"/>
                                  <w:marBottom w:val="100"/>
                                  <w:divBdr>
                                    <w:top w:val="single" w:sz="2" w:space="0" w:color="E3E3E3"/>
                                    <w:left w:val="single" w:sz="2" w:space="0" w:color="E3E3E3"/>
                                    <w:bottom w:val="single" w:sz="2" w:space="0" w:color="E3E3E3"/>
                                    <w:right w:val="single" w:sz="2" w:space="0" w:color="E3E3E3"/>
                                  </w:divBdr>
                                  <w:divsChild>
                                    <w:div w:id="1580477916">
                                      <w:marLeft w:val="0"/>
                                      <w:marRight w:val="0"/>
                                      <w:marTop w:val="0"/>
                                      <w:marBottom w:val="0"/>
                                      <w:divBdr>
                                        <w:top w:val="single" w:sz="2" w:space="0" w:color="E3E3E3"/>
                                        <w:left w:val="single" w:sz="2" w:space="0" w:color="E3E3E3"/>
                                        <w:bottom w:val="single" w:sz="2" w:space="0" w:color="E3E3E3"/>
                                        <w:right w:val="single" w:sz="2" w:space="0" w:color="E3E3E3"/>
                                      </w:divBdr>
                                      <w:divsChild>
                                        <w:div w:id="348676752">
                                          <w:marLeft w:val="0"/>
                                          <w:marRight w:val="0"/>
                                          <w:marTop w:val="0"/>
                                          <w:marBottom w:val="0"/>
                                          <w:divBdr>
                                            <w:top w:val="single" w:sz="2" w:space="0" w:color="E3E3E3"/>
                                            <w:left w:val="single" w:sz="2" w:space="0" w:color="E3E3E3"/>
                                            <w:bottom w:val="single" w:sz="2" w:space="0" w:color="E3E3E3"/>
                                            <w:right w:val="single" w:sz="2" w:space="0" w:color="E3E3E3"/>
                                          </w:divBdr>
                                          <w:divsChild>
                                            <w:div w:id="174922301">
                                              <w:marLeft w:val="0"/>
                                              <w:marRight w:val="0"/>
                                              <w:marTop w:val="0"/>
                                              <w:marBottom w:val="0"/>
                                              <w:divBdr>
                                                <w:top w:val="single" w:sz="2" w:space="0" w:color="E3E3E3"/>
                                                <w:left w:val="single" w:sz="2" w:space="0" w:color="E3E3E3"/>
                                                <w:bottom w:val="single" w:sz="2" w:space="0" w:color="E3E3E3"/>
                                                <w:right w:val="single" w:sz="2" w:space="0" w:color="E3E3E3"/>
                                              </w:divBdr>
                                              <w:divsChild>
                                                <w:div w:id="1365325257">
                                                  <w:marLeft w:val="0"/>
                                                  <w:marRight w:val="0"/>
                                                  <w:marTop w:val="0"/>
                                                  <w:marBottom w:val="0"/>
                                                  <w:divBdr>
                                                    <w:top w:val="single" w:sz="2" w:space="0" w:color="E3E3E3"/>
                                                    <w:left w:val="single" w:sz="2" w:space="0" w:color="E3E3E3"/>
                                                    <w:bottom w:val="single" w:sz="2" w:space="0" w:color="E3E3E3"/>
                                                    <w:right w:val="single" w:sz="2" w:space="0" w:color="E3E3E3"/>
                                                  </w:divBdr>
                                                  <w:divsChild>
                                                    <w:div w:id="978537493">
                                                      <w:marLeft w:val="0"/>
                                                      <w:marRight w:val="0"/>
                                                      <w:marTop w:val="0"/>
                                                      <w:marBottom w:val="0"/>
                                                      <w:divBdr>
                                                        <w:top w:val="single" w:sz="2" w:space="0" w:color="E3E3E3"/>
                                                        <w:left w:val="single" w:sz="2" w:space="0" w:color="E3E3E3"/>
                                                        <w:bottom w:val="single" w:sz="2" w:space="0" w:color="E3E3E3"/>
                                                        <w:right w:val="single" w:sz="2" w:space="0" w:color="E3E3E3"/>
                                                      </w:divBdr>
                                                      <w:divsChild>
                                                        <w:div w:id="16466646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06262738">
          <w:marLeft w:val="0"/>
          <w:marRight w:val="0"/>
          <w:marTop w:val="0"/>
          <w:marBottom w:val="0"/>
          <w:divBdr>
            <w:top w:val="none" w:sz="0" w:space="0" w:color="auto"/>
            <w:left w:val="none" w:sz="0" w:space="0" w:color="auto"/>
            <w:bottom w:val="none" w:sz="0" w:space="0" w:color="auto"/>
            <w:right w:val="none" w:sz="0" w:space="0" w:color="auto"/>
          </w:divBdr>
          <w:divsChild>
            <w:div w:id="1170291056">
              <w:marLeft w:val="0"/>
              <w:marRight w:val="0"/>
              <w:marTop w:val="0"/>
              <w:marBottom w:val="0"/>
              <w:divBdr>
                <w:top w:val="single" w:sz="2" w:space="0" w:color="E3E3E3"/>
                <w:left w:val="single" w:sz="2" w:space="0" w:color="E3E3E3"/>
                <w:bottom w:val="single" w:sz="2" w:space="0" w:color="E3E3E3"/>
                <w:right w:val="single" w:sz="2" w:space="0" w:color="E3E3E3"/>
              </w:divBdr>
              <w:divsChild>
                <w:div w:id="19189010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73626196">
      <w:bodyDiv w:val="1"/>
      <w:marLeft w:val="0"/>
      <w:marRight w:val="0"/>
      <w:marTop w:val="0"/>
      <w:marBottom w:val="0"/>
      <w:divBdr>
        <w:top w:val="none" w:sz="0" w:space="0" w:color="auto"/>
        <w:left w:val="none" w:sz="0" w:space="0" w:color="auto"/>
        <w:bottom w:val="none" w:sz="0" w:space="0" w:color="auto"/>
        <w:right w:val="none" w:sz="0" w:space="0" w:color="auto"/>
      </w:divBdr>
      <w:divsChild>
        <w:div w:id="379020615">
          <w:marLeft w:val="0"/>
          <w:marRight w:val="0"/>
          <w:marTop w:val="0"/>
          <w:marBottom w:val="0"/>
          <w:divBdr>
            <w:top w:val="single" w:sz="2" w:space="0" w:color="E3E3E3"/>
            <w:left w:val="single" w:sz="2" w:space="0" w:color="E3E3E3"/>
            <w:bottom w:val="single" w:sz="2" w:space="0" w:color="E3E3E3"/>
            <w:right w:val="single" w:sz="2" w:space="0" w:color="E3E3E3"/>
          </w:divBdr>
          <w:divsChild>
            <w:div w:id="1279291033">
              <w:marLeft w:val="0"/>
              <w:marRight w:val="0"/>
              <w:marTop w:val="0"/>
              <w:marBottom w:val="0"/>
              <w:divBdr>
                <w:top w:val="single" w:sz="2" w:space="0" w:color="E3E3E3"/>
                <w:left w:val="single" w:sz="2" w:space="0" w:color="E3E3E3"/>
                <w:bottom w:val="single" w:sz="2" w:space="0" w:color="E3E3E3"/>
                <w:right w:val="single" w:sz="2" w:space="0" w:color="E3E3E3"/>
              </w:divBdr>
              <w:divsChild>
                <w:div w:id="1704743740">
                  <w:marLeft w:val="0"/>
                  <w:marRight w:val="0"/>
                  <w:marTop w:val="0"/>
                  <w:marBottom w:val="0"/>
                  <w:divBdr>
                    <w:top w:val="single" w:sz="2" w:space="0" w:color="E3E3E3"/>
                    <w:left w:val="single" w:sz="2" w:space="0" w:color="E3E3E3"/>
                    <w:bottom w:val="single" w:sz="2" w:space="0" w:color="E3E3E3"/>
                    <w:right w:val="single" w:sz="2" w:space="0" w:color="E3E3E3"/>
                  </w:divBdr>
                  <w:divsChild>
                    <w:div w:id="962541765">
                      <w:marLeft w:val="0"/>
                      <w:marRight w:val="0"/>
                      <w:marTop w:val="0"/>
                      <w:marBottom w:val="0"/>
                      <w:divBdr>
                        <w:top w:val="single" w:sz="2" w:space="0" w:color="E3E3E3"/>
                        <w:left w:val="single" w:sz="2" w:space="0" w:color="E3E3E3"/>
                        <w:bottom w:val="single" w:sz="2" w:space="0" w:color="E3E3E3"/>
                        <w:right w:val="single" w:sz="2" w:space="0" w:color="E3E3E3"/>
                      </w:divBdr>
                      <w:divsChild>
                        <w:div w:id="659893599">
                          <w:marLeft w:val="0"/>
                          <w:marRight w:val="0"/>
                          <w:marTop w:val="0"/>
                          <w:marBottom w:val="0"/>
                          <w:divBdr>
                            <w:top w:val="single" w:sz="2" w:space="0" w:color="E3E3E3"/>
                            <w:left w:val="single" w:sz="2" w:space="0" w:color="E3E3E3"/>
                            <w:bottom w:val="single" w:sz="2" w:space="0" w:color="E3E3E3"/>
                            <w:right w:val="single" w:sz="2" w:space="0" w:color="E3E3E3"/>
                          </w:divBdr>
                          <w:divsChild>
                            <w:div w:id="2018773103">
                              <w:marLeft w:val="0"/>
                              <w:marRight w:val="0"/>
                              <w:marTop w:val="0"/>
                              <w:marBottom w:val="0"/>
                              <w:divBdr>
                                <w:top w:val="single" w:sz="2" w:space="0" w:color="E3E3E3"/>
                                <w:left w:val="single" w:sz="2" w:space="0" w:color="E3E3E3"/>
                                <w:bottom w:val="single" w:sz="2" w:space="0" w:color="E3E3E3"/>
                                <w:right w:val="single" w:sz="2" w:space="0" w:color="E3E3E3"/>
                              </w:divBdr>
                              <w:divsChild>
                                <w:div w:id="1547718151">
                                  <w:marLeft w:val="0"/>
                                  <w:marRight w:val="0"/>
                                  <w:marTop w:val="100"/>
                                  <w:marBottom w:val="100"/>
                                  <w:divBdr>
                                    <w:top w:val="single" w:sz="2" w:space="0" w:color="E3E3E3"/>
                                    <w:left w:val="single" w:sz="2" w:space="0" w:color="E3E3E3"/>
                                    <w:bottom w:val="single" w:sz="2" w:space="0" w:color="E3E3E3"/>
                                    <w:right w:val="single" w:sz="2" w:space="0" w:color="E3E3E3"/>
                                  </w:divBdr>
                                  <w:divsChild>
                                    <w:div w:id="979728208">
                                      <w:marLeft w:val="0"/>
                                      <w:marRight w:val="0"/>
                                      <w:marTop w:val="0"/>
                                      <w:marBottom w:val="0"/>
                                      <w:divBdr>
                                        <w:top w:val="single" w:sz="2" w:space="0" w:color="E3E3E3"/>
                                        <w:left w:val="single" w:sz="2" w:space="0" w:color="E3E3E3"/>
                                        <w:bottom w:val="single" w:sz="2" w:space="0" w:color="E3E3E3"/>
                                        <w:right w:val="single" w:sz="2" w:space="0" w:color="E3E3E3"/>
                                      </w:divBdr>
                                      <w:divsChild>
                                        <w:div w:id="1682781926">
                                          <w:marLeft w:val="0"/>
                                          <w:marRight w:val="0"/>
                                          <w:marTop w:val="0"/>
                                          <w:marBottom w:val="0"/>
                                          <w:divBdr>
                                            <w:top w:val="single" w:sz="2" w:space="0" w:color="E3E3E3"/>
                                            <w:left w:val="single" w:sz="2" w:space="0" w:color="E3E3E3"/>
                                            <w:bottom w:val="single" w:sz="2" w:space="0" w:color="E3E3E3"/>
                                            <w:right w:val="single" w:sz="2" w:space="0" w:color="E3E3E3"/>
                                          </w:divBdr>
                                          <w:divsChild>
                                            <w:div w:id="1443839223">
                                              <w:marLeft w:val="0"/>
                                              <w:marRight w:val="0"/>
                                              <w:marTop w:val="0"/>
                                              <w:marBottom w:val="0"/>
                                              <w:divBdr>
                                                <w:top w:val="single" w:sz="2" w:space="0" w:color="E3E3E3"/>
                                                <w:left w:val="single" w:sz="2" w:space="0" w:color="E3E3E3"/>
                                                <w:bottom w:val="single" w:sz="2" w:space="0" w:color="E3E3E3"/>
                                                <w:right w:val="single" w:sz="2" w:space="0" w:color="E3E3E3"/>
                                              </w:divBdr>
                                              <w:divsChild>
                                                <w:div w:id="661129492">
                                                  <w:marLeft w:val="0"/>
                                                  <w:marRight w:val="0"/>
                                                  <w:marTop w:val="0"/>
                                                  <w:marBottom w:val="0"/>
                                                  <w:divBdr>
                                                    <w:top w:val="single" w:sz="2" w:space="0" w:color="E3E3E3"/>
                                                    <w:left w:val="single" w:sz="2" w:space="0" w:color="E3E3E3"/>
                                                    <w:bottom w:val="single" w:sz="2" w:space="0" w:color="E3E3E3"/>
                                                    <w:right w:val="single" w:sz="2" w:space="0" w:color="E3E3E3"/>
                                                  </w:divBdr>
                                                  <w:divsChild>
                                                    <w:div w:id="822626530">
                                                      <w:marLeft w:val="0"/>
                                                      <w:marRight w:val="0"/>
                                                      <w:marTop w:val="0"/>
                                                      <w:marBottom w:val="0"/>
                                                      <w:divBdr>
                                                        <w:top w:val="single" w:sz="2" w:space="0" w:color="E3E3E3"/>
                                                        <w:left w:val="single" w:sz="2" w:space="0" w:color="E3E3E3"/>
                                                        <w:bottom w:val="single" w:sz="2" w:space="0" w:color="E3E3E3"/>
                                                        <w:right w:val="single" w:sz="2" w:space="0" w:color="E3E3E3"/>
                                                      </w:divBdr>
                                                      <w:divsChild>
                                                        <w:div w:id="9053839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685980484">
          <w:marLeft w:val="0"/>
          <w:marRight w:val="0"/>
          <w:marTop w:val="0"/>
          <w:marBottom w:val="0"/>
          <w:divBdr>
            <w:top w:val="none" w:sz="0" w:space="0" w:color="auto"/>
            <w:left w:val="none" w:sz="0" w:space="0" w:color="auto"/>
            <w:bottom w:val="none" w:sz="0" w:space="0" w:color="auto"/>
            <w:right w:val="none" w:sz="0" w:space="0" w:color="auto"/>
          </w:divBdr>
          <w:divsChild>
            <w:div w:id="2121217260">
              <w:marLeft w:val="0"/>
              <w:marRight w:val="0"/>
              <w:marTop w:val="0"/>
              <w:marBottom w:val="0"/>
              <w:divBdr>
                <w:top w:val="single" w:sz="2" w:space="0" w:color="E3E3E3"/>
                <w:left w:val="single" w:sz="2" w:space="0" w:color="E3E3E3"/>
                <w:bottom w:val="single" w:sz="2" w:space="0" w:color="E3E3E3"/>
                <w:right w:val="single" w:sz="2" w:space="0" w:color="E3E3E3"/>
              </w:divBdr>
              <w:divsChild>
                <w:div w:id="21225345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245699714">
      <w:bodyDiv w:val="1"/>
      <w:marLeft w:val="0"/>
      <w:marRight w:val="0"/>
      <w:marTop w:val="0"/>
      <w:marBottom w:val="0"/>
      <w:divBdr>
        <w:top w:val="none" w:sz="0" w:space="0" w:color="auto"/>
        <w:left w:val="none" w:sz="0" w:space="0" w:color="auto"/>
        <w:bottom w:val="none" w:sz="0" w:space="0" w:color="auto"/>
        <w:right w:val="none" w:sz="0" w:space="0" w:color="auto"/>
      </w:divBdr>
      <w:divsChild>
        <w:div w:id="1212959052">
          <w:marLeft w:val="0"/>
          <w:marRight w:val="0"/>
          <w:marTop w:val="0"/>
          <w:marBottom w:val="0"/>
          <w:divBdr>
            <w:top w:val="single" w:sz="2" w:space="0" w:color="E3E3E3"/>
            <w:left w:val="single" w:sz="2" w:space="0" w:color="E3E3E3"/>
            <w:bottom w:val="single" w:sz="2" w:space="0" w:color="E3E3E3"/>
            <w:right w:val="single" w:sz="2" w:space="0" w:color="E3E3E3"/>
          </w:divBdr>
          <w:divsChild>
            <w:div w:id="1394475013">
              <w:marLeft w:val="0"/>
              <w:marRight w:val="0"/>
              <w:marTop w:val="0"/>
              <w:marBottom w:val="0"/>
              <w:divBdr>
                <w:top w:val="single" w:sz="2" w:space="0" w:color="E3E3E3"/>
                <w:left w:val="single" w:sz="2" w:space="0" w:color="E3E3E3"/>
                <w:bottom w:val="single" w:sz="2" w:space="0" w:color="E3E3E3"/>
                <w:right w:val="single" w:sz="2" w:space="0" w:color="E3E3E3"/>
              </w:divBdr>
              <w:divsChild>
                <w:div w:id="2093812699">
                  <w:marLeft w:val="0"/>
                  <w:marRight w:val="0"/>
                  <w:marTop w:val="0"/>
                  <w:marBottom w:val="0"/>
                  <w:divBdr>
                    <w:top w:val="single" w:sz="2" w:space="0" w:color="E3E3E3"/>
                    <w:left w:val="single" w:sz="2" w:space="0" w:color="E3E3E3"/>
                    <w:bottom w:val="single" w:sz="2" w:space="0" w:color="E3E3E3"/>
                    <w:right w:val="single" w:sz="2" w:space="0" w:color="E3E3E3"/>
                  </w:divBdr>
                  <w:divsChild>
                    <w:div w:id="1290089646">
                      <w:marLeft w:val="0"/>
                      <w:marRight w:val="0"/>
                      <w:marTop w:val="0"/>
                      <w:marBottom w:val="0"/>
                      <w:divBdr>
                        <w:top w:val="single" w:sz="2" w:space="0" w:color="E3E3E3"/>
                        <w:left w:val="single" w:sz="2" w:space="0" w:color="E3E3E3"/>
                        <w:bottom w:val="single" w:sz="2" w:space="0" w:color="E3E3E3"/>
                        <w:right w:val="single" w:sz="2" w:space="0" w:color="E3E3E3"/>
                      </w:divBdr>
                      <w:divsChild>
                        <w:div w:id="832337096">
                          <w:marLeft w:val="0"/>
                          <w:marRight w:val="0"/>
                          <w:marTop w:val="0"/>
                          <w:marBottom w:val="0"/>
                          <w:divBdr>
                            <w:top w:val="single" w:sz="2" w:space="0" w:color="E3E3E3"/>
                            <w:left w:val="single" w:sz="2" w:space="0" w:color="E3E3E3"/>
                            <w:bottom w:val="single" w:sz="2" w:space="0" w:color="E3E3E3"/>
                            <w:right w:val="single" w:sz="2" w:space="0" w:color="E3E3E3"/>
                          </w:divBdr>
                          <w:divsChild>
                            <w:div w:id="1745107897">
                              <w:marLeft w:val="0"/>
                              <w:marRight w:val="0"/>
                              <w:marTop w:val="0"/>
                              <w:marBottom w:val="0"/>
                              <w:divBdr>
                                <w:top w:val="single" w:sz="2" w:space="0" w:color="E3E3E3"/>
                                <w:left w:val="single" w:sz="2" w:space="0" w:color="E3E3E3"/>
                                <w:bottom w:val="single" w:sz="2" w:space="0" w:color="E3E3E3"/>
                                <w:right w:val="single" w:sz="2" w:space="0" w:color="E3E3E3"/>
                              </w:divBdr>
                              <w:divsChild>
                                <w:div w:id="954484980">
                                  <w:marLeft w:val="0"/>
                                  <w:marRight w:val="0"/>
                                  <w:marTop w:val="100"/>
                                  <w:marBottom w:val="100"/>
                                  <w:divBdr>
                                    <w:top w:val="single" w:sz="2" w:space="0" w:color="E3E3E3"/>
                                    <w:left w:val="single" w:sz="2" w:space="0" w:color="E3E3E3"/>
                                    <w:bottom w:val="single" w:sz="2" w:space="0" w:color="E3E3E3"/>
                                    <w:right w:val="single" w:sz="2" w:space="0" w:color="E3E3E3"/>
                                  </w:divBdr>
                                  <w:divsChild>
                                    <w:div w:id="1516192237">
                                      <w:marLeft w:val="0"/>
                                      <w:marRight w:val="0"/>
                                      <w:marTop w:val="0"/>
                                      <w:marBottom w:val="0"/>
                                      <w:divBdr>
                                        <w:top w:val="single" w:sz="2" w:space="0" w:color="E3E3E3"/>
                                        <w:left w:val="single" w:sz="2" w:space="0" w:color="E3E3E3"/>
                                        <w:bottom w:val="single" w:sz="2" w:space="0" w:color="E3E3E3"/>
                                        <w:right w:val="single" w:sz="2" w:space="0" w:color="E3E3E3"/>
                                      </w:divBdr>
                                      <w:divsChild>
                                        <w:div w:id="867987883">
                                          <w:marLeft w:val="0"/>
                                          <w:marRight w:val="0"/>
                                          <w:marTop w:val="0"/>
                                          <w:marBottom w:val="0"/>
                                          <w:divBdr>
                                            <w:top w:val="single" w:sz="2" w:space="0" w:color="E3E3E3"/>
                                            <w:left w:val="single" w:sz="2" w:space="0" w:color="E3E3E3"/>
                                            <w:bottom w:val="single" w:sz="2" w:space="0" w:color="E3E3E3"/>
                                            <w:right w:val="single" w:sz="2" w:space="0" w:color="E3E3E3"/>
                                          </w:divBdr>
                                          <w:divsChild>
                                            <w:div w:id="1709183956">
                                              <w:marLeft w:val="0"/>
                                              <w:marRight w:val="0"/>
                                              <w:marTop w:val="0"/>
                                              <w:marBottom w:val="0"/>
                                              <w:divBdr>
                                                <w:top w:val="single" w:sz="2" w:space="0" w:color="E3E3E3"/>
                                                <w:left w:val="single" w:sz="2" w:space="0" w:color="E3E3E3"/>
                                                <w:bottom w:val="single" w:sz="2" w:space="0" w:color="E3E3E3"/>
                                                <w:right w:val="single" w:sz="2" w:space="0" w:color="E3E3E3"/>
                                              </w:divBdr>
                                              <w:divsChild>
                                                <w:div w:id="2143963130">
                                                  <w:marLeft w:val="0"/>
                                                  <w:marRight w:val="0"/>
                                                  <w:marTop w:val="0"/>
                                                  <w:marBottom w:val="0"/>
                                                  <w:divBdr>
                                                    <w:top w:val="single" w:sz="2" w:space="0" w:color="E3E3E3"/>
                                                    <w:left w:val="single" w:sz="2" w:space="0" w:color="E3E3E3"/>
                                                    <w:bottom w:val="single" w:sz="2" w:space="0" w:color="E3E3E3"/>
                                                    <w:right w:val="single" w:sz="2" w:space="0" w:color="E3E3E3"/>
                                                  </w:divBdr>
                                                  <w:divsChild>
                                                    <w:div w:id="243808336">
                                                      <w:marLeft w:val="0"/>
                                                      <w:marRight w:val="0"/>
                                                      <w:marTop w:val="0"/>
                                                      <w:marBottom w:val="0"/>
                                                      <w:divBdr>
                                                        <w:top w:val="single" w:sz="2" w:space="0" w:color="E3E3E3"/>
                                                        <w:left w:val="single" w:sz="2" w:space="0" w:color="E3E3E3"/>
                                                        <w:bottom w:val="single" w:sz="2" w:space="0" w:color="E3E3E3"/>
                                                        <w:right w:val="single" w:sz="2" w:space="0" w:color="E3E3E3"/>
                                                      </w:divBdr>
                                                      <w:divsChild>
                                                        <w:div w:id="25482581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576167785">
          <w:marLeft w:val="0"/>
          <w:marRight w:val="0"/>
          <w:marTop w:val="0"/>
          <w:marBottom w:val="0"/>
          <w:divBdr>
            <w:top w:val="none" w:sz="0" w:space="0" w:color="auto"/>
            <w:left w:val="none" w:sz="0" w:space="0" w:color="auto"/>
            <w:bottom w:val="none" w:sz="0" w:space="0" w:color="auto"/>
            <w:right w:val="none" w:sz="0" w:space="0" w:color="auto"/>
          </w:divBdr>
          <w:divsChild>
            <w:div w:id="73210681">
              <w:marLeft w:val="0"/>
              <w:marRight w:val="0"/>
              <w:marTop w:val="0"/>
              <w:marBottom w:val="0"/>
              <w:divBdr>
                <w:top w:val="single" w:sz="2" w:space="0" w:color="E3E3E3"/>
                <w:left w:val="single" w:sz="2" w:space="0" w:color="E3E3E3"/>
                <w:bottom w:val="single" w:sz="2" w:space="0" w:color="E3E3E3"/>
                <w:right w:val="single" w:sz="2" w:space="0" w:color="E3E3E3"/>
              </w:divBdr>
              <w:divsChild>
                <w:div w:id="204004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429468629">
      <w:bodyDiv w:val="1"/>
      <w:marLeft w:val="0"/>
      <w:marRight w:val="0"/>
      <w:marTop w:val="0"/>
      <w:marBottom w:val="0"/>
      <w:divBdr>
        <w:top w:val="none" w:sz="0" w:space="0" w:color="auto"/>
        <w:left w:val="none" w:sz="0" w:space="0" w:color="auto"/>
        <w:bottom w:val="none" w:sz="0" w:space="0" w:color="auto"/>
        <w:right w:val="none" w:sz="0" w:space="0" w:color="auto"/>
      </w:divBdr>
    </w:div>
    <w:div w:id="485586596">
      <w:bodyDiv w:val="1"/>
      <w:marLeft w:val="0"/>
      <w:marRight w:val="0"/>
      <w:marTop w:val="0"/>
      <w:marBottom w:val="0"/>
      <w:divBdr>
        <w:top w:val="none" w:sz="0" w:space="0" w:color="auto"/>
        <w:left w:val="none" w:sz="0" w:space="0" w:color="auto"/>
        <w:bottom w:val="none" w:sz="0" w:space="0" w:color="auto"/>
        <w:right w:val="none" w:sz="0" w:space="0" w:color="auto"/>
      </w:divBdr>
    </w:div>
    <w:div w:id="506555378">
      <w:bodyDiv w:val="1"/>
      <w:marLeft w:val="0"/>
      <w:marRight w:val="0"/>
      <w:marTop w:val="0"/>
      <w:marBottom w:val="0"/>
      <w:divBdr>
        <w:top w:val="none" w:sz="0" w:space="0" w:color="auto"/>
        <w:left w:val="none" w:sz="0" w:space="0" w:color="auto"/>
        <w:bottom w:val="none" w:sz="0" w:space="0" w:color="auto"/>
        <w:right w:val="none" w:sz="0" w:space="0" w:color="auto"/>
      </w:divBdr>
    </w:div>
    <w:div w:id="594437476">
      <w:bodyDiv w:val="1"/>
      <w:marLeft w:val="0"/>
      <w:marRight w:val="0"/>
      <w:marTop w:val="0"/>
      <w:marBottom w:val="0"/>
      <w:divBdr>
        <w:top w:val="none" w:sz="0" w:space="0" w:color="auto"/>
        <w:left w:val="none" w:sz="0" w:space="0" w:color="auto"/>
        <w:bottom w:val="none" w:sz="0" w:space="0" w:color="auto"/>
        <w:right w:val="none" w:sz="0" w:space="0" w:color="auto"/>
      </w:divBdr>
      <w:divsChild>
        <w:div w:id="1656181173">
          <w:marLeft w:val="0"/>
          <w:marRight w:val="0"/>
          <w:marTop w:val="0"/>
          <w:marBottom w:val="0"/>
          <w:divBdr>
            <w:top w:val="none" w:sz="0" w:space="0" w:color="auto"/>
            <w:left w:val="none" w:sz="0" w:space="0" w:color="auto"/>
            <w:bottom w:val="none" w:sz="0" w:space="0" w:color="auto"/>
            <w:right w:val="none" w:sz="0" w:space="0" w:color="auto"/>
          </w:divBdr>
          <w:divsChild>
            <w:div w:id="757291420">
              <w:marLeft w:val="0"/>
              <w:marRight w:val="0"/>
              <w:marTop w:val="0"/>
              <w:marBottom w:val="0"/>
              <w:divBdr>
                <w:top w:val="none" w:sz="0" w:space="0" w:color="auto"/>
                <w:left w:val="none" w:sz="0" w:space="0" w:color="auto"/>
                <w:bottom w:val="none" w:sz="0" w:space="0" w:color="auto"/>
                <w:right w:val="none" w:sz="0" w:space="0" w:color="auto"/>
              </w:divBdr>
              <w:divsChild>
                <w:div w:id="471145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6884033">
      <w:bodyDiv w:val="1"/>
      <w:marLeft w:val="0"/>
      <w:marRight w:val="0"/>
      <w:marTop w:val="0"/>
      <w:marBottom w:val="0"/>
      <w:divBdr>
        <w:top w:val="none" w:sz="0" w:space="0" w:color="auto"/>
        <w:left w:val="none" w:sz="0" w:space="0" w:color="auto"/>
        <w:bottom w:val="none" w:sz="0" w:space="0" w:color="auto"/>
        <w:right w:val="none" w:sz="0" w:space="0" w:color="auto"/>
      </w:divBdr>
    </w:div>
    <w:div w:id="975574574">
      <w:bodyDiv w:val="1"/>
      <w:marLeft w:val="0"/>
      <w:marRight w:val="0"/>
      <w:marTop w:val="0"/>
      <w:marBottom w:val="0"/>
      <w:divBdr>
        <w:top w:val="none" w:sz="0" w:space="0" w:color="auto"/>
        <w:left w:val="none" w:sz="0" w:space="0" w:color="auto"/>
        <w:bottom w:val="none" w:sz="0" w:space="0" w:color="auto"/>
        <w:right w:val="none" w:sz="0" w:space="0" w:color="auto"/>
      </w:divBdr>
      <w:divsChild>
        <w:div w:id="2111318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9988594">
      <w:bodyDiv w:val="1"/>
      <w:marLeft w:val="0"/>
      <w:marRight w:val="0"/>
      <w:marTop w:val="0"/>
      <w:marBottom w:val="0"/>
      <w:divBdr>
        <w:top w:val="none" w:sz="0" w:space="0" w:color="auto"/>
        <w:left w:val="none" w:sz="0" w:space="0" w:color="auto"/>
        <w:bottom w:val="none" w:sz="0" w:space="0" w:color="auto"/>
        <w:right w:val="none" w:sz="0" w:space="0" w:color="auto"/>
      </w:divBdr>
      <w:divsChild>
        <w:div w:id="393237244">
          <w:marLeft w:val="0"/>
          <w:marRight w:val="0"/>
          <w:marTop w:val="0"/>
          <w:marBottom w:val="0"/>
          <w:divBdr>
            <w:top w:val="single" w:sz="2" w:space="0" w:color="E3E3E3"/>
            <w:left w:val="single" w:sz="2" w:space="0" w:color="E3E3E3"/>
            <w:bottom w:val="single" w:sz="2" w:space="0" w:color="E3E3E3"/>
            <w:right w:val="single" w:sz="2" w:space="0" w:color="E3E3E3"/>
          </w:divBdr>
          <w:divsChild>
            <w:div w:id="901451868">
              <w:marLeft w:val="0"/>
              <w:marRight w:val="0"/>
              <w:marTop w:val="0"/>
              <w:marBottom w:val="0"/>
              <w:divBdr>
                <w:top w:val="single" w:sz="2" w:space="0" w:color="E3E3E3"/>
                <w:left w:val="single" w:sz="2" w:space="0" w:color="E3E3E3"/>
                <w:bottom w:val="single" w:sz="2" w:space="0" w:color="E3E3E3"/>
                <w:right w:val="single" w:sz="2" w:space="0" w:color="E3E3E3"/>
              </w:divBdr>
              <w:divsChild>
                <w:div w:id="364402849">
                  <w:marLeft w:val="0"/>
                  <w:marRight w:val="0"/>
                  <w:marTop w:val="0"/>
                  <w:marBottom w:val="0"/>
                  <w:divBdr>
                    <w:top w:val="single" w:sz="2" w:space="0" w:color="E3E3E3"/>
                    <w:left w:val="single" w:sz="2" w:space="0" w:color="E3E3E3"/>
                    <w:bottom w:val="single" w:sz="2" w:space="0" w:color="E3E3E3"/>
                    <w:right w:val="single" w:sz="2" w:space="0" w:color="E3E3E3"/>
                  </w:divBdr>
                  <w:divsChild>
                    <w:div w:id="383648882">
                      <w:marLeft w:val="0"/>
                      <w:marRight w:val="0"/>
                      <w:marTop w:val="0"/>
                      <w:marBottom w:val="0"/>
                      <w:divBdr>
                        <w:top w:val="single" w:sz="2" w:space="0" w:color="E3E3E3"/>
                        <w:left w:val="single" w:sz="2" w:space="0" w:color="E3E3E3"/>
                        <w:bottom w:val="single" w:sz="2" w:space="0" w:color="E3E3E3"/>
                        <w:right w:val="single" w:sz="2" w:space="0" w:color="E3E3E3"/>
                      </w:divBdr>
                      <w:divsChild>
                        <w:div w:id="2100834768">
                          <w:marLeft w:val="0"/>
                          <w:marRight w:val="0"/>
                          <w:marTop w:val="0"/>
                          <w:marBottom w:val="0"/>
                          <w:divBdr>
                            <w:top w:val="single" w:sz="2" w:space="0" w:color="E3E3E3"/>
                            <w:left w:val="single" w:sz="2" w:space="0" w:color="E3E3E3"/>
                            <w:bottom w:val="single" w:sz="2" w:space="0" w:color="E3E3E3"/>
                            <w:right w:val="single" w:sz="2" w:space="0" w:color="E3E3E3"/>
                          </w:divBdr>
                          <w:divsChild>
                            <w:div w:id="1290015829">
                              <w:marLeft w:val="0"/>
                              <w:marRight w:val="0"/>
                              <w:marTop w:val="0"/>
                              <w:marBottom w:val="0"/>
                              <w:divBdr>
                                <w:top w:val="single" w:sz="2" w:space="0" w:color="E3E3E3"/>
                                <w:left w:val="single" w:sz="2" w:space="0" w:color="E3E3E3"/>
                                <w:bottom w:val="single" w:sz="2" w:space="0" w:color="E3E3E3"/>
                                <w:right w:val="single" w:sz="2" w:space="0" w:color="E3E3E3"/>
                              </w:divBdr>
                              <w:divsChild>
                                <w:div w:id="1150944525">
                                  <w:marLeft w:val="0"/>
                                  <w:marRight w:val="0"/>
                                  <w:marTop w:val="100"/>
                                  <w:marBottom w:val="100"/>
                                  <w:divBdr>
                                    <w:top w:val="single" w:sz="2" w:space="0" w:color="E3E3E3"/>
                                    <w:left w:val="single" w:sz="2" w:space="0" w:color="E3E3E3"/>
                                    <w:bottom w:val="single" w:sz="2" w:space="0" w:color="E3E3E3"/>
                                    <w:right w:val="single" w:sz="2" w:space="0" w:color="E3E3E3"/>
                                  </w:divBdr>
                                  <w:divsChild>
                                    <w:div w:id="1932546212">
                                      <w:marLeft w:val="0"/>
                                      <w:marRight w:val="0"/>
                                      <w:marTop w:val="0"/>
                                      <w:marBottom w:val="0"/>
                                      <w:divBdr>
                                        <w:top w:val="single" w:sz="2" w:space="0" w:color="E3E3E3"/>
                                        <w:left w:val="single" w:sz="2" w:space="0" w:color="E3E3E3"/>
                                        <w:bottom w:val="single" w:sz="2" w:space="0" w:color="E3E3E3"/>
                                        <w:right w:val="single" w:sz="2" w:space="0" w:color="E3E3E3"/>
                                      </w:divBdr>
                                      <w:divsChild>
                                        <w:div w:id="1602177195">
                                          <w:marLeft w:val="0"/>
                                          <w:marRight w:val="0"/>
                                          <w:marTop w:val="0"/>
                                          <w:marBottom w:val="0"/>
                                          <w:divBdr>
                                            <w:top w:val="single" w:sz="2" w:space="0" w:color="E3E3E3"/>
                                            <w:left w:val="single" w:sz="2" w:space="0" w:color="E3E3E3"/>
                                            <w:bottom w:val="single" w:sz="2" w:space="0" w:color="E3E3E3"/>
                                            <w:right w:val="single" w:sz="2" w:space="0" w:color="E3E3E3"/>
                                          </w:divBdr>
                                          <w:divsChild>
                                            <w:div w:id="8718869">
                                              <w:marLeft w:val="0"/>
                                              <w:marRight w:val="0"/>
                                              <w:marTop w:val="0"/>
                                              <w:marBottom w:val="0"/>
                                              <w:divBdr>
                                                <w:top w:val="single" w:sz="2" w:space="0" w:color="E3E3E3"/>
                                                <w:left w:val="single" w:sz="2" w:space="0" w:color="E3E3E3"/>
                                                <w:bottom w:val="single" w:sz="2" w:space="0" w:color="E3E3E3"/>
                                                <w:right w:val="single" w:sz="2" w:space="0" w:color="E3E3E3"/>
                                              </w:divBdr>
                                              <w:divsChild>
                                                <w:div w:id="164368952">
                                                  <w:marLeft w:val="0"/>
                                                  <w:marRight w:val="0"/>
                                                  <w:marTop w:val="0"/>
                                                  <w:marBottom w:val="0"/>
                                                  <w:divBdr>
                                                    <w:top w:val="single" w:sz="2" w:space="0" w:color="E3E3E3"/>
                                                    <w:left w:val="single" w:sz="2" w:space="0" w:color="E3E3E3"/>
                                                    <w:bottom w:val="single" w:sz="2" w:space="0" w:color="E3E3E3"/>
                                                    <w:right w:val="single" w:sz="2" w:space="0" w:color="E3E3E3"/>
                                                  </w:divBdr>
                                                  <w:divsChild>
                                                    <w:div w:id="12416025">
                                                      <w:marLeft w:val="0"/>
                                                      <w:marRight w:val="0"/>
                                                      <w:marTop w:val="0"/>
                                                      <w:marBottom w:val="0"/>
                                                      <w:divBdr>
                                                        <w:top w:val="single" w:sz="2" w:space="0" w:color="E3E3E3"/>
                                                        <w:left w:val="single" w:sz="2" w:space="0" w:color="E3E3E3"/>
                                                        <w:bottom w:val="single" w:sz="2" w:space="0" w:color="E3E3E3"/>
                                                        <w:right w:val="single" w:sz="2" w:space="0" w:color="E3E3E3"/>
                                                      </w:divBdr>
                                                      <w:divsChild>
                                                        <w:div w:id="14302014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859969936">
          <w:marLeft w:val="0"/>
          <w:marRight w:val="0"/>
          <w:marTop w:val="0"/>
          <w:marBottom w:val="0"/>
          <w:divBdr>
            <w:top w:val="none" w:sz="0" w:space="0" w:color="auto"/>
            <w:left w:val="none" w:sz="0" w:space="0" w:color="auto"/>
            <w:bottom w:val="none" w:sz="0" w:space="0" w:color="auto"/>
            <w:right w:val="none" w:sz="0" w:space="0" w:color="auto"/>
          </w:divBdr>
          <w:divsChild>
            <w:div w:id="689381853">
              <w:marLeft w:val="0"/>
              <w:marRight w:val="0"/>
              <w:marTop w:val="0"/>
              <w:marBottom w:val="0"/>
              <w:divBdr>
                <w:top w:val="single" w:sz="2" w:space="0" w:color="E3E3E3"/>
                <w:left w:val="single" w:sz="2" w:space="0" w:color="E3E3E3"/>
                <w:bottom w:val="single" w:sz="2" w:space="0" w:color="E3E3E3"/>
                <w:right w:val="single" w:sz="2" w:space="0" w:color="E3E3E3"/>
              </w:divBdr>
              <w:divsChild>
                <w:div w:id="5364293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063794646">
      <w:bodyDiv w:val="1"/>
      <w:marLeft w:val="0"/>
      <w:marRight w:val="0"/>
      <w:marTop w:val="0"/>
      <w:marBottom w:val="0"/>
      <w:divBdr>
        <w:top w:val="none" w:sz="0" w:space="0" w:color="auto"/>
        <w:left w:val="none" w:sz="0" w:space="0" w:color="auto"/>
        <w:bottom w:val="none" w:sz="0" w:space="0" w:color="auto"/>
        <w:right w:val="none" w:sz="0" w:space="0" w:color="auto"/>
      </w:divBdr>
    </w:div>
    <w:div w:id="1134954377">
      <w:bodyDiv w:val="1"/>
      <w:marLeft w:val="0"/>
      <w:marRight w:val="0"/>
      <w:marTop w:val="0"/>
      <w:marBottom w:val="0"/>
      <w:divBdr>
        <w:top w:val="none" w:sz="0" w:space="0" w:color="auto"/>
        <w:left w:val="none" w:sz="0" w:space="0" w:color="auto"/>
        <w:bottom w:val="none" w:sz="0" w:space="0" w:color="auto"/>
        <w:right w:val="none" w:sz="0" w:space="0" w:color="auto"/>
      </w:divBdr>
      <w:divsChild>
        <w:div w:id="106125699">
          <w:marLeft w:val="0"/>
          <w:marRight w:val="0"/>
          <w:marTop w:val="0"/>
          <w:marBottom w:val="0"/>
          <w:divBdr>
            <w:top w:val="single" w:sz="2" w:space="0" w:color="E3E3E3"/>
            <w:left w:val="single" w:sz="2" w:space="0" w:color="E3E3E3"/>
            <w:bottom w:val="single" w:sz="2" w:space="0" w:color="E3E3E3"/>
            <w:right w:val="single" w:sz="2" w:space="0" w:color="E3E3E3"/>
          </w:divBdr>
          <w:divsChild>
            <w:div w:id="782919707">
              <w:marLeft w:val="0"/>
              <w:marRight w:val="0"/>
              <w:marTop w:val="0"/>
              <w:marBottom w:val="0"/>
              <w:divBdr>
                <w:top w:val="single" w:sz="2" w:space="0" w:color="E3E3E3"/>
                <w:left w:val="single" w:sz="2" w:space="0" w:color="E3E3E3"/>
                <w:bottom w:val="single" w:sz="2" w:space="0" w:color="E3E3E3"/>
                <w:right w:val="single" w:sz="2" w:space="0" w:color="E3E3E3"/>
              </w:divBdr>
              <w:divsChild>
                <w:div w:id="1315910164">
                  <w:marLeft w:val="0"/>
                  <w:marRight w:val="0"/>
                  <w:marTop w:val="0"/>
                  <w:marBottom w:val="0"/>
                  <w:divBdr>
                    <w:top w:val="single" w:sz="2" w:space="0" w:color="E3E3E3"/>
                    <w:left w:val="single" w:sz="2" w:space="0" w:color="E3E3E3"/>
                    <w:bottom w:val="single" w:sz="2" w:space="0" w:color="E3E3E3"/>
                    <w:right w:val="single" w:sz="2" w:space="0" w:color="E3E3E3"/>
                  </w:divBdr>
                  <w:divsChild>
                    <w:div w:id="1237594241">
                      <w:marLeft w:val="0"/>
                      <w:marRight w:val="0"/>
                      <w:marTop w:val="0"/>
                      <w:marBottom w:val="0"/>
                      <w:divBdr>
                        <w:top w:val="single" w:sz="2" w:space="0" w:color="E3E3E3"/>
                        <w:left w:val="single" w:sz="2" w:space="0" w:color="E3E3E3"/>
                        <w:bottom w:val="single" w:sz="2" w:space="0" w:color="E3E3E3"/>
                        <w:right w:val="single" w:sz="2" w:space="0" w:color="E3E3E3"/>
                      </w:divBdr>
                      <w:divsChild>
                        <w:div w:id="670259261">
                          <w:marLeft w:val="0"/>
                          <w:marRight w:val="0"/>
                          <w:marTop w:val="0"/>
                          <w:marBottom w:val="0"/>
                          <w:divBdr>
                            <w:top w:val="single" w:sz="2" w:space="0" w:color="E3E3E3"/>
                            <w:left w:val="single" w:sz="2" w:space="0" w:color="E3E3E3"/>
                            <w:bottom w:val="single" w:sz="2" w:space="0" w:color="E3E3E3"/>
                            <w:right w:val="single" w:sz="2" w:space="0" w:color="E3E3E3"/>
                          </w:divBdr>
                          <w:divsChild>
                            <w:div w:id="706835075">
                              <w:marLeft w:val="0"/>
                              <w:marRight w:val="0"/>
                              <w:marTop w:val="0"/>
                              <w:marBottom w:val="0"/>
                              <w:divBdr>
                                <w:top w:val="single" w:sz="2" w:space="0" w:color="E3E3E3"/>
                                <w:left w:val="single" w:sz="2" w:space="0" w:color="E3E3E3"/>
                                <w:bottom w:val="single" w:sz="2" w:space="0" w:color="E3E3E3"/>
                                <w:right w:val="single" w:sz="2" w:space="0" w:color="E3E3E3"/>
                              </w:divBdr>
                              <w:divsChild>
                                <w:div w:id="1729527071">
                                  <w:marLeft w:val="0"/>
                                  <w:marRight w:val="0"/>
                                  <w:marTop w:val="100"/>
                                  <w:marBottom w:val="100"/>
                                  <w:divBdr>
                                    <w:top w:val="single" w:sz="2" w:space="0" w:color="E3E3E3"/>
                                    <w:left w:val="single" w:sz="2" w:space="0" w:color="E3E3E3"/>
                                    <w:bottom w:val="single" w:sz="2" w:space="0" w:color="E3E3E3"/>
                                    <w:right w:val="single" w:sz="2" w:space="0" w:color="E3E3E3"/>
                                  </w:divBdr>
                                  <w:divsChild>
                                    <w:div w:id="1022247386">
                                      <w:marLeft w:val="0"/>
                                      <w:marRight w:val="0"/>
                                      <w:marTop w:val="0"/>
                                      <w:marBottom w:val="0"/>
                                      <w:divBdr>
                                        <w:top w:val="single" w:sz="2" w:space="0" w:color="E3E3E3"/>
                                        <w:left w:val="single" w:sz="2" w:space="0" w:color="E3E3E3"/>
                                        <w:bottom w:val="single" w:sz="2" w:space="0" w:color="E3E3E3"/>
                                        <w:right w:val="single" w:sz="2" w:space="0" w:color="E3E3E3"/>
                                      </w:divBdr>
                                      <w:divsChild>
                                        <w:div w:id="1901741993">
                                          <w:marLeft w:val="0"/>
                                          <w:marRight w:val="0"/>
                                          <w:marTop w:val="0"/>
                                          <w:marBottom w:val="0"/>
                                          <w:divBdr>
                                            <w:top w:val="single" w:sz="2" w:space="0" w:color="E3E3E3"/>
                                            <w:left w:val="single" w:sz="2" w:space="0" w:color="E3E3E3"/>
                                            <w:bottom w:val="single" w:sz="2" w:space="0" w:color="E3E3E3"/>
                                            <w:right w:val="single" w:sz="2" w:space="0" w:color="E3E3E3"/>
                                          </w:divBdr>
                                          <w:divsChild>
                                            <w:div w:id="898055749">
                                              <w:marLeft w:val="0"/>
                                              <w:marRight w:val="0"/>
                                              <w:marTop w:val="0"/>
                                              <w:marBottom w:val="0"/>
                                              <w:divBdr>
                                                <w:top w:val="single" w:sz="2" w:space="0" w:color="E3E3E3"/>
                                                <w:left w:val="single" w:sz="2" w:space="0" w:color="E3E3E3"/>
                                                <w:bottom w:val="single" w:sz="2" w:space="0" w:color="E3E3E3"/>
                                                <w:right w:val="single" w:sz="2" w:space="0" w:color="E3E3E3"/>
                                              </w:divBdr>
                                              <w:divsChild>
                                                <w:div w:id="1203400556">
                                                  <w:marLeft w:val="0"/>
                                                  <w:marRight w:val="0"/>
                                                  <w:marTop w:val="0"/>
                                                  <w:marBottom w:val="0"/>
                                                  <w:divBdr>
                                                    <w:top w:val="single" w:sz="2" w:space="0" w:color="E3E3E3"/>
                                                    <w:left w:val="single" w:sz="2" w:space="0" w:color="E3E3E3"/>
                                                    <w:bottom w:val="single" w:sz="2" w:space="0" w:color="E3E3E3"/>
                                                    <w:right w:val="single" w:sz="2" w:space="0" w:color="E3E3E3"/>
                                                  </w:divBdr>
                                                  <w:divsChild>
                                                    <w:div w:id="26104863">
                                                      <w:marLeft w:val="0"/>
                                                      <w:marRight w:val="0"/>
                                                      <w:marTop w:val="0"/>
                                                      <w:marBottom w:val="0"/>
                                                      <w:divBdr>
                                                        <w:top w:val="single" w:sz="2" w:space="0" w:color="E3E3E3"/>
                                                        <w:left w:val="single" w:sz="2" w:space="0" w:color="E3E3E3"/>
                                                        <w:bottom w:val="single" w:sz="2" w:space="0" w:color="E3E3E3"/>
                                                        <w:right w:val="single" w:sz="2" w:space="0" w:color="E3E3E3"/>
                                                      </w:divBdr>
                                                      <w:divsChild>
                                                        <w:div w:id="7562927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849370181">
          <w:marLeft w:val="0"/>
          <w:marRight w:val="0"/>
          <w:marTop w:val="0"/>
          <w:marBottom w:val="0"/>
          <w:divBdr>
            <w:top w:val="none" w:sz="0" w:space="0" w:color="auto"/>
            <w:left w:val="none" w:sz="0" w:space="0" w:color="auto"/>
            <w:bottom w:val="none" w:sz="0" w:space="0" w:color="auto"/>
            <w:right w:val="none" w:sz="0" w:space="0" w:color="auto"/>
          </w:divBdr>
          <w:divsChild>
            <w:div w:id="1063943900">
              <w:marLeft w:val="0"/>
              <w:marRight w:val="0"/>
              <w:marTop w:val="0"/>
              <w:marBottom w:val="0"/>
              <w:divBdr>
                <w:top w:val="single" w:sz="2" w:space="0" w:color="E3E3E3"/>
                <w:left w:val="single" w:sz="2" w:space="0" w:color="E3E3E3"/>
                <w:bottom w:val="single" w:sz="2" w:space="0" w:color="E3E3E3"/>
                <w:right w:val="single" w:sz="2" w:space="0" w:color="E3E3E3"/>
              </w:divBdr>
              <w:divsChild>
                <w:div w:id="28331713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139571169">
      <w:bodyDiv w:val="1"/>
      <w:marLeft w:val="0"/>
      <w:marRight w:val="0"/>
      <w:marTop w:val="0"/>
      <w:marBottom w:val="0"/>
      <w:divBdr>
        <w:top w:val="none" w:sz="0" w:space="0" w:color="auto"/>
        <w:left w:val="none" w:sz="0" w:space="0" w:color="auto"/>
        <w:bottom w:val="none" w:sz="0" w:space="0" w:color="auto"/>
        <w:right w:val="none" w:sz="0" w:space="0" w:color="auto"/>
      </w:divBdr>
    </w:div>
    <w:div w:id="1193691598">
      <w:bodyDiv w:val="1"/>
      <w:marLeft w:val="0"/>
      <w:marRight w:val="0"/>
      <w:marTop w:val="0"/>
      <w:marBottom w:val="0"/>
      <w:divBdr>
        <w:top w:val="none" w:sz="0" w:space="0" w:color="auto"/>
        <w:left w:val="none" w:sz="0" w:space="0" w:color="auto"/>
        <w:bottom w:val="none" w:sz="0" w:space="0" w:color="auto"/>
        <w:right w:val="none" w:sz="0" w:space="0" w:color="auto"/>
      </w:divBdr>
      <w:divsChild>
        <w:div w:id="695814082">
          <w:marLeft w:val="0"/>
          <w:marRight w:val="0"/>
          <w:marTop w:val="0"/>
          <w:marBottom w:val="0"/>
          <w:divBdr>
            <w:top w:val="single" w:sz="2" w:space="0" w:color="E3E3E3"/>
            <w:left w:val="single" w:sz="2" w:space="0" w:color="E3E3E3"/>
            <w:bottom w:val="single" w:sz="2" w:space="0" w:color="E3E3E3"/>
            <w:right w:val="single" w:sz="2" w:space="0" w:color="E3E3E3"/>
          </w:divBdr>
          <w:divsChild>
            <w:div w:id="592012169">
              <w:marLeft w:val="0"/>
              <w:marRight w:val="0"/>
              <w:marTop w:val="0"/>
              <w:marBottom w:val="0"/>
              <w:divBdr>
                <w:top w:val="single" w:sz="2" w:space="0" w:color="E3E3E3"/>
                <w:left w:val="single" w:sz="2" w:space="0" w:color="E3E3E3"/>
                <w:bottom w:val="single" w:sz="2" w:space="0" w:color="E3E3E3"/>
                <w:right w:val="single" w:sz="2" w:space="0" w:color="E3E3E3"/>
              </w:divBdr>
              <w:divsChild>
                <w:div w:id="979308803">
                  <w:marLeft w:val="0"/>
                  <w:marRight w:val="0"/>
                  <w:marTop w:val="0"/>
                  <w:marBottom w:val="0"/>
                  <w:divBdr>
                    <w:top w:val="single" w:sz="2" w:space="0" w:color="E3E3E3"/>
                    <w:left w:val="single" w:sz="2" w:space="0" w:color="E3E3E3"/>
                    <w:bottom w:val="single" w:sz="2" w:space="0" w:color="E3E3E3"/>
                    <w:right w:val="single" w:sz="2" w:space="0" w:color="E3E3E3"/>
                  </w:divBdr>
                  <w:divsChild>
                    <w:div w:id="117578365">
                      <w:marLeft w:val="0"/>
                      <w:marRight w:val="0"/>
                      <w:marTop w:val="0"/>
                      <w:marBottom w:val="0"/>
                      <w:divBdr>
                        <w:top w:val="single" w:sz="2" w:space="0" w:color="E3E3E3"/>
                        <w:left w:val="single" w:sz="2" w:space="0" w:color="E3E3E3"/>
                        <w:bottom w:val="single" w:sz="2" w:space="0" w:color="E3E3E3"/>
                        <w:right w:val="single" w:sz="2" w:space="0" w:color="E3E3E3"/>
                      </w:divBdr>
                      <w:divsChild>
                        <w:div w:id="554514756">
                          <w:marLeft w:val="0"/>
                          <w:marRight w:val="0"/>
                          <w:marTop w:val="0"/>
                          <w:marBottom w:val="0"/>
                          <w:divBdr>
                            <w:top w:val="single" w:sz="2" w:space="0" w:color="E3E3E3"/>
                            <w:left w:val="single" w:sz="2" w:space="0" w:color="E3E3E3"/>
                            <w:bottom w:val="single" w:sz="2" w:space="0" w:color="E3E3E3"/>
                            <w:right w:val="single" w:sz="2" w:space="0" w:color="E3E3E3"/>
                          </w:divBdr>
                          <w:divsChild>
                            <w:div w:id="2102291297">
                              <w:marLeft w:val="0"/>
                              <w:marRight w:val="0"/>
                              <w:marTop w:val="0"/>
                              <w:marBottom w:val="0"/>
                              <w:divBdr>
                                <w:top w:val="single" w:sz="2" w:space="0" w:color="E3E3E3"/>
                                <w:left w:val="single" w:sz="2" w:space="0" w:color="E3E3E3"/>
                                <w:bottom w:val="single" w:sz="2" w:space="0" w:color="E3E3E3"/>
                                <w:right w:val="single" w:sz="2" w:space="0" w:color="E3E3E3"/>
                              </w:divBdr>
                              <w:divsChild>
                                <w:div w:id="446891498">
                                  <w:marLeft w:val="0"/>
                                  <w:marRight w:val="0"/>
                                  <w:marTop w:val="100"/>
                                  <w:marBottom w:val="100"/>
                                  <w:divBdr>
                                    <w:top w:val="single" w:sz="2" w:space="0" w:color="E3E3E3"/>
                                    <w:left w:val="single" w:sz="2" w:space="0" w:color="E3E3E3"/>
                                    <w:bottom w:val="single" w:sz="2" w:space="0" w:color="E3E3E3"/>
                                    <w:right w:val="single" w:sz="2" w:space="0" w:color="E3E3E3"/>
                                  </w:divBdr>
                                  <w:divsChild>
                                    <w:div w:id="995769532">
                                      <w:marLeft w:val="0"/>
                                      <w:marRight w:val="0"/>
                                      <w:marTop w:val="0"/>
                                      <w:marBottom w:val="0"/>
                                      <w:divBdr>
                                        <w:top w:val="single" w:sz="2" w:space="0" w:color="E3E3E3"/>
                                        <w:left w:val="single" w:sz="2" w:space="0" w:color="E3E3E3"/>
                                        <w:bottom w:val="single" w:sz="2" w:space="0" w:color="E3E3E3"/>
                                        <w:right w:val="single" w:sz="2" w:space="0" w:color="E3E3E3"/>
                                      </w:divBdr>
                                      <w:divsChild>
                                        <w:div w:id="252934461">
                                          <w:marLeft w:val="0"/>
                                          <w:marRight w:val="0"/>
                                          <w:marTop w:val="0"/>
                                          <w:marBottom w:val="0"/>
                                          <w:divBdr>
                                            <w:top w:val="single" w:sz="2" w:space="0" w:color="E3E3E3"/>
                                            <w:left w:val="single" w:sz="2" w:space="0" w:color="E3E3E3"/>
                                            <w:bottom w:val="single" w:sz="2" w:space="0" w:color="E3E3E3"/>
                                            <w:right w:val="single" w:sz="2" w:space="0" w:color="E3E3E3"/>
                                          </w:divBdr>
                                          <w:divsChild>
                                            <w:div w:id="796796587">
                                              <w:marLeft w:val="0"/>
                                              <w:marRight w:val="0"/>
                                              <w:marTop w:val="0"/>
                                              <w:marBottom w:val="0"/>
                                              <w:divBdr>
                                                <w:top w:val="single" w:sz="2" w:space="0" w:color="E3E3E3"/>
                                                <w:left w:val="single" w:sz="2" w:space="0" w:color="E3E3E3"/>
                                                <w:bottom w:val="single" w:sz="2" w:space="0" w:color="E3E3E3"/>
                                                <w:right w:val="single" w:sz="2" w:space="0" w:color="E3E3E3"/>
                                              </w:divBdr>
                                              <w:divsChild>
                                                <w:div w:id="1139493074">
                                                  <w:marLeft w:val="0"/>
                                                  <w:marRight w:val="0"/>
                                                  <w:marTop w:val="0"/>
                                                  <w:marBottom w:val="0"/>
                                                  <w:divBdr>
                                                    <w:top w:val="single" w:sz="2" w:space="0" w:color="E3E3E3"/>
                                                    <w:left w:val="single" w:sz="2" w:space="0" w:color="E3E3E3"/>
                                                    <w:bottom w:val="single" w:sz="2" w:space="0" w:color="E3E3E3"/>
                                                    <w:right w:val="single" w:sz="2" w:space="0" w:color="E3E3E3"/>
                                                  </w:divBdr>
                                                  <w:divsChild>
                                                    <w:div w:id="646478545">
                                                      <w:marLeft w:val="0"/>
                                                      <w:marRight w:val="0"/>
                                                      <w:marTop w:val="0"/>
                                                      <w:marBottom w:val="0"/>
                                                      <w:divBdr>
                                                        <w:top w:val="single" w:sz="2" w:space="0" w:color="E3E3E3"/>
                                                        <w:left w:val="single" w:sz="2" w:space="0" w:color="E3E3E3"/>
                                                        <w:bottom w:val="single" w:sz="2" w:space="0" w:color="E3E3E3"/>
                                                        <w:right w:val="single" w:sz="2" w:space="0" w:color="E3E3E3"/>
                                                      </w:divBdr>
                                                      <w:divsChild>
                                                        <w:div w:id="12013567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38447435">
          <w:marLeft w:val="0"/>
          <w:marRight w:val="0"/>
          <w:marTop w:val="0"/>
          <w:marBottom w:val="0"/>
          <w:divBdr>
            <w:top w:val="single" w:sz="2" w:space="0" w:color="E3E3E3"/>
            <w:left w:val="single" w:sz="2" w:space="0" w:color="E3E3E3"/>
            <w:bottom w:val="single" w:sz="2" w:space="0" w:color="E3E3E3"/>
            <w:right w:val="single" w:sz="2" w:space="0" w:color="E3E3E3"/>
          </w:divBdr>
          <w:divsChild>
            <w:div w:id="1587110586">
              <w:marLeft w:val="0"/>
              <w:marRight w:val="0"/>
              <w:marTop w:val="0"/>
              <w:marBottom w:val="0"/>
              <w:divBdr>
                <w:top w:val="single" w:sz="2" w:space="0" w:color="E3E3E3"/>
                <w:left w:val="single" w:sz="2" w:space="0" w:color="E3E3E3"/>
                <w:bottom w:val="single" w:sz="2" w:space="0" w:color="E3E3E3"/>
                <w:right w:val="single" w:sz="2" w:space="0" w:color="E3E3E3"/>
              </w:divBdr>
              <w:divsChild>
                <w:div w:id="2020913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198658837">
      <w:bodyDiv w:val="1"/>
      <w:marLeft w:val="0"/>
      <w:marRight w:val="0"/>
      <w:marTop w:val="0"/>
      <w:marBottom w:val="0"/>
      <w:divBdr>
        <w:top w:val="none" w:sz="0" w:space="0" w:color="auto"/>
        <w:left w:val="none" w:sz="0" w:space="0" w:color="auto"/>
        <w:bottom w:val="none" w:sz="0" w:space="0" w:color="auto"/>
        <w:right w:val="none" w:sz="0" w:space="0" w:color="auto"/>
      </w:divBdr>
    </w:div>
    <w:div w:id="1313096331">
      <w:bodyDiv w:val="1"/>
      <w:marLeft w:val="0"/>
      <w:marRight w:val="0"/>
      <w:marTop w:val="0"/>
      <w:marBottom w:val="0"/>
      <w:divBdr>
        <w:top w:val="none" w:sz="0" w:space="0" w:color="auto"/>
        <w:left w:val="none" w:sz="0" w:space="0" w:color="auto"/>
        <w:bottom w:val="none" w:sz="0" w:space="0" w:color="auto"/>
        <w:right w:val="none" w:sz="0" w:space="0" w:color="auto"/>
      </w:divBdr>
      <w:divsChild>
        <w:div w:id="289095213">
          <w:marLeft w:val="0"/>
          <w:marRight w:val="0"/>
          <w:marTop w:val="0"/>
          <w:marBottom w:val="0"/>
          <w:divBdr>
            <w:top w:val="single" w:sz="2" w:space="0" w:color="E3E3E3"/>
            <w:left w:val="single" w:sz="2" w:space="0" w:color="E3E3E3"/>
            <w:bottom w:val="single" w:sz="2" w:space="0" w:color="E3E3E3"/>
            <w:right w:val="single" w:sz="2" w:space="0" w:color="E3E3E3"/>
          </w:divBdr>
          <w:divsChild>
            <w:div w:id="1514487609">
              <w:marLeft w:val="0"/>
              <w:marRight w:val="0"/>
              <w:marTop w:val="0"/>
              <w:marBottom w:val="0"/>
              <w:divBdr>
                <w:top w:val="single" w:sz="2" w:space="0" w:color="E3E3E3"/>
                <w:left w:val="single" w:sz="2" w:space="0" w:color="E3E3E3"/>
                <w:bottom w:val="single" w:sz="2" w:space="0" w:color="E3E3E3"/>
                <w:right w:val="single" w:sz="2" w:space="0" w:color="E3E3E3"/>
              </w:divBdr>
              <w:divsChild>
                <w:div w:id="828710302">
                  <w:marLeft w:val="0"/>
                  <w:marRight w:val="0"/>
                  <w:marTop w:val="0"/>
                  <w:marBottom w:val="0"/>
                  <w:divBdr>
                    <w:top w:val="single" w:sz="2" w:space="0" w:color="E3E3E3"/>
                    <w:left w:val="single" w:sz="2" w:space="0" w:color="E3E3E3"/>
                    <w:bottom w:val="single" w:sz="2" w:space="0" w:color="E3E3E3"/>
                    <w:right w:val="single" w:sz="2" w:space="0" w:color="E3E3E3"/>
                  </w:divBdr>
                  <w:divsChild>
                    <w:div w:id="307327175">
                      <w:marLeft w:val="0"/>
                      <w:marRight w:val="0"/>
                      <w:marTop w:val="0"/>
                      <w:marBottom w:val="0"/>
                      <w:divBdr>
                        <w:top w:val="single" w:sz="2" w:space="0" w:color="E3E3E3"/>
                        <w:left w:val="single" w:sz="2" w:space="0" w:color="E3E3E3"/>
                        <w:bottom w:val="single" w:sz="2" w:space="0" w:color="E3E3E3"/>
                        <w:right w:val="single" w:sz="2" w:space="0" w:color="E3E3E3"/>
                      </w:divBdr>
                      <w:divsChild>
                        <w:div w:id="1679238224">
                          <w:marLeft w:val="0"/>
                          <w:marRight w:val="0"/>
                          <w:marTop w:val="0"/>
                          <w:marBottom w:val="0"/>
                          <w:divBdr>
                            <w:top w:val="single" w:sz="2" w:space="0" w:color="E3E3E3"/>
                            <w:left w:val="single" w:sz="2" w:space="0" w:color="E3E3E3"/>
                            <w:bottom w:val="single" w:sz="2" w:space="0" w:color="E3E3E3"/>
                            <w:right w:val="single" w:sz="2" w:space="0" w:color="E3E3E3"/>
                          </w:divBdr>
                          <w:divsChild>
                            <w:div w:id="976178878">
                              <w:marLeft w:val="0"/>
                              <w:marRight w:val="0"/>
                              <w:marTop w:val="0"/>
                              <w:marBottom w:val="0"/>
                              <w:divBdr>
                                <w:top w:val="single" w:sz="2" w:space="0" w:color="E3E3E3"/>
                                <w:left w:val="single" w:sz="2" w:space="0" w:color="E3E3E3"/>
                                <w:bottom w:val="single" w:sz="2" w:space="0" w:color="E3E3E3"/>
                                <w:right w:val="single" w:sz="2" w:space="0" w:color="E3E3E3"/>
                              </w:divBdr>
                              <w:divsChild>
                                <w:div w:id="1695421266">
                                  <w:marLeft w:val="0"/>
                                  <w:marRight w:val="0"/>
                                  <w:marTop w:val="100"/>
                                  <w:marBottom w:val="100"/>
                                  <w:divBdr>
                                    <w:top w:val="single" w:sz="2" w:space="0" w:color="E3E3E3"/>
                                    <w:left w:val="single" w:sz="2" w:space="0" w:color="E3E3E3"/>
                                    <w:bottom w:val="single" w:sz="2" w:space="0" w:color="E3E3E3"/>
                                    <w:right w:val="single" w:sz="2" w:space="0" w:color="E3E3E3"/>
                                  </w:divBdr>
                                  <w:divsChild>
                                    <w:div w:id="851725393">
                                      <w:marLeft w:val="0"/>
                                      <w:marRight w:val="0"/>
                                      <w:marTop w:val="0"/>
                                      <w:marBottom w:val="0"/>
                                      <w:divBdr>
                                        <w:top w:val="single" w:sz="2" w:space="0" w:color="E3E3E3"/>
                                        <w:left w:val="single" w:sz="2" w:space="0" w:color="E3E3E3"/>
                                        <w:bottom w:val="single" w:sz="2" w:space="0" w:color="E3E3E3"/>
                                        <w:right w:val="single" w:sz="2" w:space="0" w:color="E3E3E3"/>
                                      </w:divBdr>
                                      <w:divsChild>
                                        <w:div w:id="2086753898">
                                          <w:marLeft w:val="0"/>
                                          <w:marRight w:val="0"/>
                                          <w:marTop w:val="0"/>
                                          <w:marBottom w:val="0"/>
                                          <w:divBdr>
                                            <w:top w:val="single" w:sz="2" w:space="0" w:color="E3E3E3"/>
                                            <w:left w:val="single" w:sz="2" w:space="0" w:color="E3E3E3"/>
                                            <w:bottom w:val="single" w:sz="2" w:space="0" w:color="E3E3E3"/>
                                            <w:right w:val="single" w:sz="2" w:space="0" w:color="E3E3E3"/>
                                          </w:divBdr>
                                          <w:divsChild>
                                            <w:div w:id="591666882">
                                              <w:marLeft w:val="0"/>
                                              <w:marRight w:val="0"/>
                                              <w:marTop w:val="0"/>
                                              <w:marBottom w:val="0"/>
                                              <w:divBdr>
                                                <w:top w:val="single" w:sz="2" w:space="0" w:color="E3E3E3"/>
                                                <w:left w:val="single" w:sz="2" w:space="0" w:color="E3E3E3"/>
                                                <w:bottom w:val="single" w:sz="2" w:space="0" w:color="E3E3E3"/>
                                                <w:right w:val="single" w:sz="2" w:space="0" w:color="E3E3E3"/>
                                              </w:divBdr>
                                              <w:divsChild>
                                                <w:div w:id="563954667">
                                                  <w:marLeft w:val="0"/>
                                                  <w:marRight w:val="0"/>
                                                  <w:marTop w:val="0"/>
                                                  <w:marBottom w:val="0"/>
                                                  <w:divBdr>
                                                    <w:top w:val="single" w:sz="2" w:space="0" w:color="E3E3E3"/>
                                                    <w:left w:val="single" w:sz="2" w:space="0" w:color="E3E3E3"/>
                                                    <w:bottom w:val="single" w:sz="2" w:space="0" w:color="E3E3E3"/>
                                                    <w:right w:val="single" w:sz="2" w:space="0" w:color="E3E3E3"/>
                                                  </w:divBdr>
                                                  <w:divsChild>
                                                    <w:div w:id="614599221">
                                                      <w:marLeft w:val="0"/>
                                                      <w:marRight w:val="0"/>
                                                      <w:marTop w:val="0"/>
                                                      <w:marBottom w:val="0"/>
                                                      <w:divBdr>
                                                        <w:top w:val="single" w:sz="2" w:space="0" w:color="E3E3E3"/>
                                                        <w:left w:val="single" w:sz="2" w:space="0" w:color="E3E3E3"/>
                                                        <w:bottom w:val="single" w:sz="2" w:space="0" w:color="E3E3E3"/>
                                                        <w:right w:val="single" w:sz="2" w:space="0" w:color="E3E3E3"/>
                                                      </w:divBdr>
                                                      <w:divsChild>
                                                        <w:div w:id="17242844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46772209">
          <w:marLeft w:val="0"/>
          <w:marRight w:val="0"/>
          <w:marTop w:val="0"/>
          <w:marBottom w:val="0"/>
          <w:divBdr>
            <w:top w:val="single" w:sz="2" w:space="0" w:color="E3E3E3"/>
            <w:left w:val="single" w:sz="2" w:space="0" w:color="E3E3E3"/>
            <w:bottom w:val="single" w:sz="2" w:space="0" w:color="E3E3E3"/>
            <w:right w:val="single" w:sz="2" w:space="0" w:color="E3E3E3"/>
          </w:divBdr>
          <w:divsChild>
            <w:div w:id="443960939">
              <w:marLeft w:val="0"/>
              <w:marRight w:val="0"/>
              <w:marTop w:val="100"/>
              <w:marBottom w:val="100"/>
              <w:divBdr>
                <w:top w:val="single" w:sz="2" w:space="0" w:color="E3E3E3"/>
                <w:left w:val="single" w:sz="2" w:space="0" w:color="E3E3E3"/>
                <w:bottom w:val="single" w:sz="2" w:space="0" w:color="E3E3E3"/>
                <w:right w:val="single" w:sz="2" w:space="0" w:color="E3E3E3"/>
              </w:divBdr>
              <w:divsChild>
                <w:div w:id="1625187519">
                  <w:marLeft w:val="0"/>
                  <w:marRight w:val="0"/>
                  <w:marTop w:val="0"/>
                  <w:marBottom w:val="0"/>
                  <w:divBdr>
                    <w:top w:val="single" w:sz="2" w:space="0" w:color="E3E3E3"/>
                    <w:left w:val="single" w:sz="2" w:space="0" w:color="E3E3E3"/>
                    <w:bottom w:val="single" w:sz="2" w:space="0" w:color="E3E3E3"/>
                    <w:right w:val="single" w:sz="2" w:space="0" w:color="E3E3E3"/>
                  </w:divBdr>
                  <w:divsChild>
                    <w:div w:id="1722248389">
                      <w:marLeft w:val="0"/>
                      <w:marRight w:val="0"/>
                      <w:marTop w:val="0"/>
                      <w:marBottom w:val="0"/>
                      <w:divBdr>
                        <w:top w:val="single" w:sz="2" w:space="0" w:color="E3E3E3"/>
                        <w:left w:val="single" w:sz="2" w:space="0" w:color="E3E3E3"/>
                        <w:bottom w:val="single" w:sz="2" w:space="0" w:color="E3E3E3"/>
                        <w:right w:val="single" w:sz="2" w:space="0" w:color="E3E3E3"/>
                      </w:divBdr>
                      <w:divsChild>
                        <w:div w:id="1841309418">
                          <w:marLeft w:val="0"/>
                          <w:marRight w:val="0"/>
                          <w:marTop w:val="0"/>
                          <w:marBottom w:val="0"/>
                          <w:divBdr>
                            <w:top w:val="single" w:sz="2" w:space="0" w:color="E3E3E3"/>
                            <w:left w:val="single" w:sz="2" w:space="0" w:color="E3E3E3"/>
                            <w:bottom w:val="single" w:sz="2" w:space="0" w:color="E3E3E3"/>
                            <w:right w:val="single" w:sz="2" w:space="0" w:color="E3E3E3"/>
                          </w:divBdr>
                          <w:divsChild>
                            <w:div w:id="2019574668">
                              <w:marLeft w:val="0"/>
                              <w:marRight w:val="0"/>
                              <w:marTop w:val="0"/>
                              <w:marBottom w:val="0"/>
                              <w:divBdr>
                                <w:top w:val="single" w:sz="6" w:space="0" w:color="auto"/>
                                <w:left w:val="single" w:sz="6" w:space="0" w:color="auto"/>
                                <w:bottom w:val="single" w:sz="6" w:space="0" w:color="auto"/>
                                <w:right w:val="single" w:sz="6" w:space="0" w:color="auto"/>
                              </w:divBdr>
                              <w:divsChild>
                                <w:div w:id="1766076576">
                                  <w:marLeft w:val="0"/>
                                  <w:marRight w:val="0"/>
                                  <w:marTop w:val="0"/>
                                  <w:marBottom w:val="0"/>
                                  <w:divBdr>
                                    <w:top w:val="none" w:sz="0" w:space="0" w:color="auto"/>
                                    <w:left w:val="none" w:sz="0" w:space="0" w:color="auto"/>
                                    <w:bottom w:val="none" w:sz="0" w:space="0" w:color="auto"/>
                                    <w:right w:val="none" w:sz="0" w:space="0" w:color="auto"/>
                                  </w:divBdr>
                                  <w:divsChild>
                                    <w:div w:id="1386224711">
                                      <w:marLeft w:val="0"/>
                                      <w:marRight w:val="0"/>
                                      <w:marTop w:val="0"/>
                                      <w:marBottom w:val="0"/>
                                      <w:divBdr>
                                        <w:top w:val="none" w:sz="0" w:space="0" w:color="auto"/>
                                        <w:left w:val="none" w:sz="0" w:space="0" w:color="auto"/>
                                        <w:bottom w:val="none" w:sz="0" w:space="0" w:color="auto"/>
                                        <w:right w:val="none" w:sz="0" w:space="0" w:color="auto"/>
                                      </w:divBdr>
                                      <w:divsChild>
                                        <w:div w:id="1330713593">
                                          <w:marLeft w:val="0"/>
                                          <w:marRight w:val="0"/>
                                          <w:marTop w:val="0"/>
                                          <w:marBottom w:val="0"/>
                                          <w:divBdr>
                                            <w:top w:val="none" w:sz="0" w:space="0" w:color="auto"/>
                                            <w:left w:val="none" w:sz="0" w:space="0" w:color="auto"/>
                                            <w:bottom w:val="none" w:sz="0" w:space="0" w:color="auto"/>
                                            <w:right w:val="none" w:sz="0" w:space="0" w:color="auto"/>
                                          </w:divBdr>
                                          <w:divsChild>
                                            <w:div w:id="711468093">
                                              <w:marLeft w:val="0"/>
                                              <w:marRight w:val="0"/>
                                              <w:marTop w:val="0"/>
                                              <w:marBottom w:val="0"/>
                                              <w:divBdr>
                                                <w:top w:val="none" w:sz="0" w:space="0" w:color="auto"/>
                                                <w:left w:val="none" w:sz="0" w:space="0" w:color="auto"/>
                                                <w:bottom w:val="none" w:sz="0" w:space="0" w:color="auto"/>
                                                <w:right w:val="none" w:sz="0" w:space="0" w:color="auto"/>
                                              </w:divBdr>
                                              <w:divsChild>
                                                <w:div w:id="220559433">
                                                  <w:marLeft w:val="0"/>
                                                  <w:marRight w:val="0"/>
                                                  <w:marTop w:val="0"/>
                                                  <w:marBottom w:val="0"/>
                                                  <w:divBdr>
                                                    <w:top w:val="none" w:sz="0" w:space="0" w:color="auto"/>
                                                    <w:left w:val="none" w:sz="0" w:space="0" w:color="auto"/>
                                                    <w:bottom w:val="none" w:sz="0" w:space="0" w:color="auto"/>
                                                    <w:right w:val="none" w:sz="0" w:space="0" w:color="auto"/>
                                                  </w:divBdr>
                                                  <w:divsChild>
                                                    <w:div w:id="1872767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15870403">
      <w:bodyDiv w:val="1"/>
      <w:marLeft w:val="0"/>
      <w:marRight w:val="0"/>
      <w:marTop w:val="0"/>
      <w:marBottom w:val="0"/>
      <w:divBdr>
        <w:top w:val="none" w:sz="0" w:space="0" w:color="auto"/>
        <w:left w:val="none" w:sz="0" w:space="0" w:color="auto"/>
        <w:bottom w:val="none" w:sz="0" w:space="0" w:color="auto"/>
        <w:right w:val="none" w:sz="0" w:space="0" w:color="auto"/>
      </w:divBdr>
      <w:divsChild>
        <w:div w:id="1365060232">
          <w:marLeft w:val="0"/>
          <w:marRight w:val="0"/>
          <w:marTop w:val="0"/>
          <w:marBottom w:val="0"/>
          <w:divBdr>
            <w:top w:val="single" w:sz="2" w:space="0" w:color="E3E3E3"/>
            <w:left w:val="single" w:sz="2" w:space="0" w:color="E3E3E3"/>
            <w:bottom w:val="single" w:sz="2" w:space="0" w:color="E3E3E3"/>
            <w:right w:val="single" w:sz="2" w:space="0" w:color="E3E3E3"/>
          </w:divBdr>
          <w:divsChild>
            <w:div w:id="1649088582">
              <w:marLeft w:val="0"/>
              <w:marRight w:val="0"/>
              <w:marTop w:val="0"/>
              <w:marBottom w:val="0"/>
              <w:divBdr>
                <w:top w:val="single" w:sz="2" w:space="0" w:color="E3E3E3"/>
                <w:left w:val="single" w:sz="2" w:space="0" w:color="E3E3E3"/>
                <w:bottom w:val="single" w:sz="2" w:space="0" w:color="E3E3E3"/>
                <w:right w:val="single" w:sz="2" w:space="0" w:color="E3E3E3"/>
              </w:divBdr>
              <w:divsChild>
                <w:div w:id="2069570912">
                  <w:marLeft w:val="0"/>
                  <w:marRight w:val="0"/>
                  <w:marTop w:val="0"/>
                  <w:marBottom w:val="0"/>
                  <w:divBdr>
                    <w:top w:val="single" w:sz="2" w:space="0" w:color="E3E3E3"/>
                    <w:left w:val="single" w:sz="2" w:space="0" w:color="E3E3E3"/>
                    <w:bottom w:val="single" w:sz="2" w:space="0" w:color="E3E3E3"/>
                    <w:right w:val="single" w:sz="2" w:space="0" w:color="E3E3E3"/>
                  </w:divBdr>
                  <w:divsChild>
                    <w:div w:id="1049690482">
                      <w:marLeft w:val="0"/>
                      <w:marRight w:val="0"/>
                      <w:marTop w:val="0"/>
                      <w:marBottom w:val="0"/>
                      <w:divBdr>
                        <w:top w:val="single" w:sz="2" w:space="0" w:color="E3E3E3"/>
                        <w:left w:val="single" w:sz="2" w:space="0" w:color="E3E3E3"/>
                        <w:bottom w:val="single" w:sz="2" w:space="0" w:color="E3E3E3"/>
                        <w:right w:val="single" w:sz="2" w:space="0" w:color="E3E3E3"/>
                      </w:divBdr>
                      <w:divsChild>
                        <w:div w:id="117064890">
                          <w:marLeft w:val="0"/>
                          <w:marRight w:val="0"/>
                          <w:marTop w:val="0"/>
                          <w:marBottom w:val="0"/>
                          <w:divBdr>
                            <w:top w:val="single" w:sz="2" w:space="0" w:color="E3E3E3"/>
                            <w:left w:val="single" w:sz="2" w:space="0" w:color="E3E3E3"/>
                            <w:bottom w:val="single" w:sz="2" w:space="0" w:color="E3E3E3"/>
                            <w:right w:val="single" w:sz="2" w:space="0" w:color="E3E3E3"/>
                          </w:divBdr>
                          <w:divsChild>
                            <w:div w:id="1869904051">
                              <w:marLeft w:val="0"/>
                              <w:marRight w:val="0"/>
                              <w:marTop w:val="0"/>
                              <w:marBottom w:val="0"/>
                              <w:divBdr>
                                <w:top w:val="single" w:sz="2" w:space="0" w:color="E3E3E3"/>
                                <w:left w:val="single" w:sz="2" w:space="0" w:color="E3E3E3"/>
                                <w:bottom w:val="single" w:sz="2" w:space="0" w:color="E3E3E3"/>
                                <w:right w:val="single" w:sz="2" w:space="0" w:color="E3E3E3"/>
                              </w:divBdr>
                              <w:divsChild>
                                <w:div w:id="2015105822">
                                  <w:marLeft w:val="0"/>
                                  <w:marRight w:val="0"/>
                                  <w:marTop w:val="100"/>
                                  <w:marBottom w:val="100"/>
                                  <w:divBdr>
                                    <w:top w:val="single" w:sz="2" w:space="0" w:color="E3E3E3"/>
                                    <w:left w:val="single" w:sz="2" w:space="0" w:color="E3E3E3"/>
                                    <w:bottom w:val="single" w:sz="2" w:space="0" w:color="E3E3E3"/>
                                    <w:right w:val="single" w:sz="2" w:space="0" w:color="E3E3E3"/>
                                  </w:divBdr>
                                  <w:divsChild>
                                    <w:div w:id="1120102794">
                                      <w:marLeft w:val="0"/>
                                      <w:marRight w:val="0"/>
                                      <w:marTop w:val="0"/>
                                      <w:marBottom w:val="0"/>
                                      <w:divBdr>
                                        <w:top w:val="single" w:sz="2" w:space="0" w:color="E3E3E3"/>
                                        <w:left w:val="single" w:sz="2" w:space="0" w:color="E3E3E3"/>
                                        <w:bottom w:val="single" w:sz="2" w:space="0" w:color="E3E3E3"/>
                                        <w:right w:val="single" w:sz="2" w:space="0" w:color="E3E3E3"/>
                                      </w:divBdr>
                                      <w:divsChild>
                                        <w:div w:id="1826774464">
                                          <w:marLeft w:val="0"/>
                                          <w:marRight w:val="0"/>
                                          <w:marTop w:val="0"/>
                                          <w:marBottom w:val="0"/>
                                          <w:divBdr>
                                            <w:top w:val="single" w:sz="2" w:space="0" w:color="E3E3E3"/>
                                            <w:left w:val="single" w:sz="2" w:space="0" w:color="E3E3E3"/>
                                            <w:bottom w:val="single" w:sz="2" w:space="0" w:color="E3E3E3"/>
                                            <w:right w:val="single" w:sz="2" w:space="0" w:color="E3E3E3"/>
                                          </w:divBdr>
                                          <w:divsChild>
                                            <w:div w:id="1094278086">
                                              <w:marLeft w:val="0"/>
                                              <w:marRight w:val="0"/>
                                              <w:marTop w:val="0"/>
                                              <w:marBottom w:val="0"/>
                                              <w:divBdr>
                                                <w:top w:val="single" w:sz="2" w:space="0" w:color="E3E3E3"/>
                                                <w:left w:val="single" w:sz="2" w:space="0" w:color="E3E3E3"/>
                                                <w:bottom w:val="single" w:sz="2" w:space="0" w:color="E3E3E3"/>
                                                <w:right w:val="single" w:sz="2" w:space="0" w:color="E3E3E3"/>
                                              </w:divBdr>
                                              <w:divsChild>
                                                <w:div w:id="956720423">
                                                  <w:marLeft w:val="0"/>
                                                  <w:marRight w:val="0"/>
                                                  <w:marTop w:val="0"/>
                                                  <w:marBottom w:val="0"/>
                                                  <w:divBdr>
                                                    <w:top w:val="single" w:sz="2" w:space="0" w:color="E3E3E3"/>
                                                    <w:left w:val="single" w:sz="2" w:space="0" w:color="E3E3E3"/>
                                                    <w:bottom w:val="single" w:sz="2" w:space="0" w:color="E3E3E3"/>
                                                    <w:right w:val="single" w:sz="2" w:space="0" w:color="E3E3E3"/>
                                                  </w:divBdr>
                                                  <w:divsChild>
                                                    <w:div w:id="973828863">
                                                      <w:marLeft w:val="0"/>
                                                      <w:marRight w:val="0"/>
                                                      <w:marTop w:val="0"/>
                                                      <w:marBottom w:val="0"/>
                                                      <w:divBdr>
                                                        <w:top w:val="single" w:sz="2" w:space="0" w:color="E3E3E3"/>
                                                        <w:left w:val="single" w:sz="2" w:space="0" w:color="E3E3E3"/>
                                                        <w:bottom w:val="single" w:sz="2" w:space="0" w:color="E3E3E3"/>
                                                        <w:right w:val="single" w:sz="2" w:space="0" w:color="E3E3E3"/>
                                                      </w:divBdr>
                                                      <w:divsChild>
                                                        <w:div w:id="3287978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890921997">
          <w:marLeft w:val="0"/>
          <w:marRight w:val="0"/>
          <w:marTop w:val="0"/>
          <w:marBottom w:val="0"/>
          <w:divBdr>
            <w:top w:val="none" w:sz="0" w:space="0" w:color="auto"/>
            <w:left w:val="none" w:sz="0" w:space="0" w:color="auto"/>
            <w:bottom w:val="none" w:sz="0" w:space="0" w:color="auto"/>
            <w:right w:val="none" w:sz="0" w:space="0" w:color="auto"/>
          </w:divBdr>
          <w:divsChild>
            <w:div w:id="27799473">
              <w:marLeft w:val="0"/>
              <w:marRight w:val="0"/>
              <w:marTop w:val="0"/>
              <w:marBottom w:val="0"/>
              <w:divBdr>
                <w:top w:val="single" w:sz="2" w:space="0" w:color="E3E3E3"/>
                <w:left w:val="single" w:sz="2" w:space="0" w:color="E3E3E3"/>
                <w:bottom w:val="single" w:sz="2" w:space="0" w:color="E3E3E3"/>
                <w:right w:val="single" w:sz="2" w:space="0" w:color="E3E3E3"/>
              </w:divBdr>
              <w:divsChild>
                <w:div w:id="12132695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663465724">
      <w:bodyDiv w:val="1"/>
      <w:marLeft w:val="0"/>
      <w:marRight w:val="0"/>
      <w:marTop w:val="0"/>
      <w:marBottom w:val="0"/>
      <w:divBdr>
        <w:top w:val="none" w:sz="0" w:space="0" w:color="auto"/>
        <w:left w:val="none" w:sz="0" w:space="0" w:color="auto"/>
        <w:bottom w:val="none" w:sz="0" w:space="0" w:color="auto"/>
        <w:right w:val="none" w:sz="0" w:space="0" w:color="auto"/>
      </w:divBdr>
    </w:div>
    <w:div w:id="1713651770">
      <w:bodyDiv w:val="1"/>
      <w:marLeft w:val="0"/>
      <w:marRight w:val="0"/>
      <w:marTop w:val="0"/>
      <w:marBottom w:val="0"/>
      <w:divBdr>
        <w:top w:val="none" w:sz="0" w:space="0" w:color="auto"/>
        <w:left w:val="none" w:sz="0" w:space="0" w:color="auto"/>
        <w:bottom w:val="none" w:sz="0" w:space="0" w:color="auto"/>
        <w:right w:val="none" w:sz="0" w:space="0" w:color="auto"/>
      </w:divBdr>
    </w:div>
    <w:div w:id="1722090148">
      <w:bodyDiv w:val="1"/>
      <w:marLeft w:val="0"/>
      <w:marRight w:val="0"/>
      <w:marTop w:val="0"/>
      <w:marBottom w:val="0"/>
      <w:divBdr>
        <w:top w:val="none" w:sz="0" w:space="0" w:color="auto"/>
        <w:left w:val="none" w:sz="0" w:space="0" w:color="auto"/>
        <w:bottom w:val="none" w:sz="0" w:space="0" w:color="auto"/>
        <w:right w:val="none" w:sz="0" w:space="0" w:color="auto"/>
      </w:divBdr>
    </w:div>
    <w:div w:id="1729842664">
      <w:bodyDiv w:val="1"/>
      <w:marLeft w:val="0"/>
      <w:marRight w:val="0"/>
      <w:marTop w:val="0"/>
      <w:marBottom w:val="0"/>
      <w:divBdr>
        <w:top w:val="none" w:sz="0" w:space="0" w:color="auto"/>
        <w:left w:val="none" w:sz="0" w:space="0" w:color="auto"/>
        <w:bottom w:val="none" w:sz="0" w:space="0" w:color="auto"/>
        <w:right w:val="none" w:sz="0" w:space="0" w:color="auto"/>
      </w:divBdr>
    </w:div>
    <w:div w:id="1768883287">
      <w:bodyDiv w:val="1"/>
      <w:marLeft w:val="0"/>
      <w:marRight w:val="0"/>
      <w:marTop w:val="0"/>
      <w:marBottom w:val="0"/>
      <w:divBdr>
        <w:top w:val="none" w:sz="0" w:space="0" w:color="auto"/>
        <w:left w:val="none" w:sz="0" w:space="0" w:color="auto"/>
        <w:bottom w:val="none" w:sz="0" w:space="0" w:color="auto"/>
        <w:right w:val="none" w:sz="0" w:space="0" w:color="auto"/>
      </w:divBdr>
      <w:divsChild>
        <w:div w:id="2125996621">
          <w:marLeft w:val="0"/>
          <w:marRight w:val="0"/>
          <w:marTop w:val="0"/>
          <w:marBottom w:val="0"/>
          <w:divBdr>
            <w:top w:val="none" w:sz="0" w:space="0" w:color="auto"/>
            <w:left w:val="none" w:sz="0" w:space="0" w:color="auto"/>
            <w:bottom w:val="none" w:sz="0" w:space="0" w:color="auto"/>
            <w:right w:val="none" w:sz="0" w:space="0" w:color="auto"/>
          </w:divBdr>
          <w:divsChild>
            <w:div w:id="2018384491">
              <w:marLeft w:val="0"/>
              <w:marRight w:val="0"/>
              <w:marTop w:val="0"/>
              <w:marBottom w:val="0"/>
              <w:divBdr>
                <w:top w:val="none" w:sz="0" w:space="0" w:color="auto"/>
                <w:left w:val="none" w:sz="0" w:space="0" w:color="auto"/>
                <w:bottom w:val="none" w:sz="0" w:space="0" w:color="auto"/>
                <w:right w:val="none" w:sz="0" w:space="0" w:color="auto"/>
              </w:divBdr>
              <w:divsChild>
                <w:div w:id="1370378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6921024">
      <w:bodyDiv w:val="1"/>
      <w:marLeft w:val="0"/>
      <w:marRight w:val="0"/>
      <w:marTop w:val="0"/>
      <w:marBottom w:val="0"/>
      <w:divBdr>
        <w:top w:val="none" w:sz="0" w:space="0" w:color="auto"/>
        <w:left w:val="none" w:sz="0" w:space="0" w:color="auto"/>
        <w:bottom w:val="none" w:sz="0" w:space="0" w:color="auto"/>
        <w:right w:val="none" w:sz="0" w:space="0" w:color="auto"/>
      </w:divBdr>
      <w:divsChild>
        <w:div w:id="1319845087">
          <w:marLeft w:val="0"/>
          <w:marRight w:val="0"/>
          <w:marTop w:val="0"/>
          <w:marBottom w:val="0"/>
          <w:divBdr>
            <w:top w:val="single" w:sz="2" w:space="0" w:color="E3E3E3"/>
            <w:left w:val="single" w:sz="2" w:space="0" w:color="E3E3E3"/>
            <w:bottom w:val="single" w:sz="2" w:space="0" w:color="E3E3E3"/>
            <w:right w:val="single" w:sz="2" w:space="0" w:color="E3E3E3"/>
          </w:divBdr>
          <w:divsChild>
            <w:div w:id="1847665798">
              <w:marLeft w:val="0"/>
              <w:marRight w:val="0"/>
              <w:marTop w:val="0"/>
              <w:marBottom w:val="0"/>
              <w:divBdr>
                <w:top w:val="single" w:sz="2" w:space="0" w:color="E3E3E3"/>
                <w:left w:val="single" w:sz="2" w:space="0" w:color="E3E3E3"/>
                <w:bottom w:val="single" w:sz="2" w:space="0" w:color="E3E3E3"/>
                <w:right w:val="single" w:sz="2" w:space="0" w:color="E3E3E3"/>
              </w:divBdr>
              <w:divsChild>
                <w:div w:id="1008099267">
                  <w:marLeft w:val="0"/>
                  <w:marRight w:val="0"/>
                  <w:marTop w:val="0"/>
                  <w:marBottom w:val="0"/>
                  <w:divBdr>
                    <w:top w:val="single" w:sz="2" w:space="0" w:color="E3E3E3"/>
                    <w:left w:val="single" w:sz="2" w:space="0" w:color="E3E3E3"/>
                    <w:bottom w:val="single" w:sz="2" w:space="0" w:color="E3E3E3"/>
                    <w:right w:val="single" w:sz="2" w:space="0" w:color="E3E3E3"/>
                  </w:divBdr>
                  <w:divsChild>
                    <w:div w:id="378164281">
                      <w:marLeft w:val="0"/>
                      <w:marRight w:val="0"/>
                      <w:marTop w:val="0"/>
                      <w:marBottom w:val="0"/>
                      <w:divBdr>
                        <w:top w:val="single" w:sz="2" w:space="0" w:color="E3E3E3"/>
                        <w:left w:val="single" w:sz="2" w:space="0" w:color="E3E3E3"/>
                        <w:bottom w:val="single" w:sz="2" w:space="0" w:color="E3E3E3"/>
                        <w:right w:val="single" w:sz="2" w:space="0" w:color="E3E3E3"/>
                      </w:divBdr>
                      <w:divsChild>
                        <w:div w:id="1425418961">
                          <w:marLeft w:val="0"/>
                          <w:marRight w:val="0"/>
                          <w:marTop w:val="0"/>
                          <w:marBottom w:val="0"/>
                          <w:divBdr>
                            <w:top w:val="single" w:sz="2" w:space="0" w:color="E3E3E3"/>
                            <w:left w:val="single" w:sz="2" w:space="0" w:color="E3E3E3"/>
                            <w:bottom w:val="single" w:sz="2" w:space="0" w:color="E3E3E3"/>
                            <w:right w:val="single" w:sz="2" w:space="0" w:color="E3E3E3"/>
                          </w:divBdr>
                          <w:divsChild>
                            <w:div w:id="115174743">
                              <w:marLeft w:val="0"/>
                              <w:marRight w:val="0"/>
                              <w:marTop w:val="0"/>
                              <w:marBottom w:val="0"/>
                              <w:divBdr>
                                <w:top w:val="single" w:sz="2" w:space="0" w:color="E3E3E3"/>
                                <w:left w:val="single" w:sz="2" w:space="0" w:color="E3E3E3"/>
                                <w:bottom w:val="single" w:sz="2" w:space="0" w:color="E3E3E3"/>
                                <w:right w:val="single" w:sz="2" w:space="0" w:color="E3E3E3"/>
                              </w:divBdr>
                              <w:divsChild>
                                <w:div w:id="1594239272">
                                  <w:marLeft w:val="0"/>
                                  <w:marRight w:val="0"/>
                                  <w:marTop w:val="100"/>
                                  <w:marBottom w:val="100"/>
                                  <w:divBdr>
                                    <w:top w:val="single" w:sz="2" w:space="0" w:color="E3E3E3"/>
                                    <w:left w:val="single" w:sz="2" w:space="0" w:color="E3E3E3"/>
                                    <w:bottom w:val="single" w:sz="2" w:space="0" w:color="E3E3E3"/>
                                    <w:right w:val="single" w:sz="2" w:space="0" w:color="E3E3E3"/>
                                  </w:divBdr>
                                  <w:divsChild>
                                    <w:div w:id="46034654">
                                      <w:marLeft w:val="0"/>
                                      <w:marRight w:val="0"/>
                                      <w:marTop w:val="0"/>
                                      <w:marBottom w:val="0"/>
                                      <w:divBdr>
                                        <w:top w:val="single" w:sz="2" w:space="0" w:color="E3E3E3"/>
                                        <w:left w:val="single" w:sz="2" w:space="0" w:color="E3E3E3"/>
                                        <w:bottom w:val="single" w:sz="2" w:space="0" w:color="E3E3E3"/>
                                        <w:right w:val="single" w:sz="2" w:space="0" w:color="E3E3E3"/>
                                      </w:divBdr>
                                      <w:divsChild>
                                        <w:div w:id="762073504">
                                          <w:marLeft w:val="0"/>
                                          <w:marRight w:val="0"/>
                                          <w:marTop w:val="0"/>
                                          <w:marBottom w:val="0"/>
                                          <w:divBdr>
                                            <w:top w:val="single" w:sz="2" w:space="0" w:color="E3E3E3"/>
                                            <w:left w:val="single" w:sz="2" w:space="0" w:color="E3E3E3"/>
                                            <w:bottom w:val="single" w:sz="2" w:space="0" w:color="E3E3E3"/>
                                            <w:right w:val="single" w:sz="2" w:space="0" w:color="E3E3E3"/>
                                          </w:divBdr>
                                          <w:divsChild>
                                            <w:div w:id="132063539">
                                              <w:marLeft w:val="0"/>
                                              <w:marRight w:val="0"/>
                                              <w:marTop w:val="0"/>
                                              <w:marBottom w:val="0"/>
                                              <w:divBdr>
                                                <w:top w:val="single" w:sz="2" w:space="0" w:color="E3E3E3"/>
                                                <w:left w:val="single" w:sz="2" w:space="0" w:color="E3E3E3"/>
                                                <w:bottom w:val="single" w:sz="2" w:space="0" w:color="E3E3E3"/>
                                                <w:right w:val="single" w:sz="2" w:space="0" w:color="E3E3E3"/>
                                              </w:divBdr>
                                              <w:divsChild>
                                                <w:div w:id="882912710">
                                                  <w:marLeft w:val="0"/>
                                                  <w:marRight w:val="0"/>
                                                  <w:marTop w:val="0"/>
                                                  <w:marBottom w:val="0"/>
                                                  <w:divBdr>
                                                    <w:top w:val="single" w:sz="2" w:space="0" w:color="E3E3E3"/>
                                                    <w:left w:val="single" w:sz="2" w:space="0" w:color="E3E3E3"/>
                                                    <w:bottom w:val="single" w:sz="2" w:space="0" w:color="E3E3E3"/>
                                                    <w:right w:val="single" w:sz="2" w:space="0" w:color="E3E3E3"/>
                                                  </w:divBdr>
                                                  <w:divsChild>
                                                    <w:div w:id="122578495">
                                                      <w:marLeft w:val="0"/>
                                                      <w:marRight w:val="0"/>
                                                      <w:marTop w:val="0"/>
                                                      <w:marBottom w:val="0"/>
                                                      <w:divBdr>
                                                        <w:top w:val="single" w:sz="2" w:space="0" w:color="E3E3E3"/>
                                                        <w:left w:val="single" w:sz="2" w:space="0" w:color="E3E3E3"/>
                                                        <w:bottom w:val="single" w:sz="2" w:space="0" w:color="E3E3E3"/>
                                                        <w:right w:val="single" w:sz="2" w:space="0" w:color="E3E3E3"/>
                                                      </w:divBdr>
                                                      <w:divsChild>
                                                        <w:div w:id="200628098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09451408">
          <w:marLeft w:val="0"/>
          <w:marRight w:val="0"/>
          <w:marTop w:val="0"/>
          <w:marBottom w:val="0"/>
          <w:divBdr>
            <w:top w:val="single" w:sz="2" w:space="0" w:color="E3E3E3"/>
            <w:left w:val="single" w:sz="2" w:space="0" w:color="E3E3E3"/>
            <w:bottom w:val="single" w:sz="2" w:space="0" w:color="E3E3E3"/>
            <w:right w:val="single" w:sz="2" w:space="0" w:color="E3E3E3"/>
          </w:divBdr>
          <w:divsChild>
            <w:div w:id="967197125">
              <w:marLeft w:val="0"/>
              <w:marRight w:val="0"/>
              <w:marTop w:val="0"/>
              <w:marBottom w:val="0"/>
              <w:divBdr>
                <w:top w:val="single" w:sz="2" w:space="0" w:color="E3E3E3"/>
                <w:left w:val="single" w:sz="2" w:space="0" w:color="E3E3E3"/>
                <w:bottom w:val="single" w:sz="2" w:space="0" w:color="E3E3E3"/>
                <w:right w:val="single" w:sz="2" w:space="0" w:color="E3E3E3"/>
              </w:divBdr>
              <w:divsChild>
                <w:div w:id="11257337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820875940">
      <w:bodyDiv w:val="1"/>
      <w:marLeft w:val="0"/>
      <w:marRight w:val="0"/>
      <w:marTop w:val="0"/>
      <w:marBottom w:val="0"/>
      <w:divBdr>
        <w:top w:val="none" w:sz="0" w:space="0" w:color="auto"/>
        <w:left w:val="none" w:sz="0" w:space="0" w:color="auto"/>
        <w:bottom w:val="none" w:sz="0" w:space="0" w:color="auto"/>
        <w:right w:val="none" w:sz="0" w:space="0" w:color="auto"/>
      </w:divBdr>
      <w:divsChild>
        <w:div w:id="1339577666">
          <w:marLeft w:val="0"/>
          <w:marRight w:val="0"/>
          <w:marTop w:val="0"/>
          <w:marBottom w:val="0"/>
          <w:divBdr>
            <w:top w:val="single" w:sz="2" w:space="0" w:color="E3E3E3"/>
            <w:left w:val="single" w:sz="2" w:space="0" w:color="E3E3E3"/>
            <w:bottom w:val="single" w:sz="2" w:space="0" w:color="E3E3E3"/>
            <w:right w:val="single" w:sz="2" w:space="0" w:color="E3E3E3"/>
          </w:divBdr>
          <w:divsChild>
            <w:div w:id="304548683">
              <w:marLeft w:val="0"/>
              <w:marRight w:val="0"/>
              <w:marTop w:val="0"/>
              <w:marBottom w:val="0"/>
              <w:divBdr>
                <w:top w:val="single" w:sz="2" w:space="0" w:color="E3E3E3"/>
                <w:left w:val="single" w:sz="2" w:space="0" w:color="E3E3E3"/>
                <w:bottom w:val="single" w:sz="2" w:space="0" w:color="E3E3E3"/>
                <w:right w:val="single" w:sz="2" w:space="0" w:color="E3E3E3"/>
              </w:divBdr>
              <w:divsChild>
                <w:div w:id="1114248137">
                  <w:marLeft w:val="0"/>
                  <w:marRight w:val="0"/>
                  <w:marTop w:val="0"/>
                  <w:marBottom w:val="0"/>
                  <w:divBdr>
                    <w:top w:val="single" w:sz="2" w:space="0" w:color="E3E3E3"/>
                    <w:left w:val="single" w:sz="2" w:space="0" w:color="E3E3E3"/>
                    <w:bottom w:val="single" w:sz="2" w:space="0" w:color="E3E3E3"/>
                    <w:right w:val="single" w:sz="2" w:space="0" w:color="E3E3E3"/>
                  </w:divBdr>
                  <w:divsChild>
                    <w:div w:id="2078941214">
                      <w:marLeft w:val="0"/>
                      <w:marRight w:val="0"/>
                      <w:marTop w:val="0"/>
                      <w:marBottom w:val="0"/>
                      <w:divBdr>
                        <w:top w:val="single" w:sz="2" w:space="0" w:color="E3E3E3"/>
                        <w:left w:val="single" w:sz="2" w:space="0" w:color="E3E3E3"/>
                        <w:bottom w:val="single" w:sz="2" w:space="0" w:color="E3E3E3"/>
                        <w:right w:val="single" w:sz="2" w:space="0" w:color="E3E3E3"/>
                      </w:divBdr>
                      <w:divsChild>
                        <w:div w:id="589698843">
                          <w:marLeft w:val="0"/>
                          <w:marRight w:val="0"/>
                          <w:marTop w:val="0"/>
                          <w:marBottom w:val="0"/>
                          <w:divBdr>
                            <w:top w:val="single" w:sz="2" w:space="0" w:color="E3E3E3"/>
                            <w:left w:val="single" w:sz="2" w:space="0" w:color="E3E3E3"/>
                            <w:bottom w:val="single" w:sz="2" w:space="0" w:color="E3E3E3"/>
                            <w:right w:val="single" w:sz="2" w:space="0" w:color="E3E3E3"/>
                          </w:divBdr>
                          <w:divsChild>
                            <w:div w:id="2057585746">
                              <w:marLeft w:val="0"/>
                              <w:marRight w:val="0"/>
                              <w:marTop w:val="0"/>
                              <w:marBottom w:val="0"/>
                              <w:divBdr>
                                <w:top w:val="single" w:sz="2" w:space="0" w:color="E3E3E3"/>
                                <w:left w:val="single" w:sz="2" w:space="0" w:color="E3E3E3"/>
                                <w:bottom w:val="single" w:sz="2" w:space="0" w:color="E3E3E3"/>
                                <w:right w:val="single" w:sz="2" w:space="0" w:color="E3E3E3"/>
                              </w:divBdr>
                              <w:divsChild>
                                <w:div w:id="1904019793">
                                  <w:marLeft w:val="0"/>
                                  <w:marRight w:val="0"/>
                                  <w:marTop w:val="100"/>
                                  <w:marBottom w:val="100"/>
                                  <w:divBdr>
                                    <w:top w:val="single" w:sz="2" w:space="0" w:color="E3E3E3"/>
                                    <w:left w:val="single" w:sz="2" w:space="0" w:color="E3E3E3"/>
                                    <w:bottom w:val="single" w:sz="2" w:space="0" w:color="E3E3E3"/>
                                    <w:right w:val="single" w:sz="2" w:space="0" w:color="E3E3E3"/>
                                  </w:divBdr>
                                  <w:divsChild>
                                    <w:div w:id="940650542">
                                      <w:marLeft w:val="0"/>
                                      <w:marRight w:val="0"/>
                                      <w:marTop w:val="0"/>
                                      <w:marBottom w:val="0"/>
                                      <w:divBdr>
                                        <w:top w:val="single" w:sz="2" w:space="0" w:color="E3E3E3"/>
                                        <w:left w:val="single" w:sz="2" w:space="0" w:color="E3E3E3"/>
                                        <w:bottom w:val="single" w:sz="2" w:space="0" w:color="E3E3E3"/>
                                        <w:right w:val="single" w:sz="2" w:space="0" w:color="E3E3E3"/>
                                      </w:divBdr>
                                      <w:divsChild>
                                        <w:div w:id="118492966">
                                          <w:marLeft w:val="0"/>
                                          <w:marRight w:val="0"/>
                                          <w:marTop w:val="0"/>
                                          <w:marBottom w:val="0"/>
                                          <w:divBdr>
                                            <w:top w:val="single" w:sz="2" w:space="0" w:color="E3E3E3"/>
                                            <w:left w:val="single" w:sz="2" w:space="0" w:color="E3E3E3"/>
                                            <w:bottom w:val="single" w:sz="2" w:space="0" w:color="E3E3E3"/>
                                            <w:right w:val="single" w:sz="2" w:space="0" w:color="E3E3E3"/>
                                          </w:divBdr>
                                          <w:divsChild>
                                            <w:div w:id="44377247">
                                              <w:marLeft w:val="0"/>
                                              <w:marRight w:val="0"/>
                                              <w:marTop w:val="0"/>
                                              <w:marBottom w:val="0"/>
                                              <w:divBdr>
                                                <w:top w:val="single" w:sz="2" w:space="0" w:color="E3E3E3"/>
                                                <w:left w:val="single" w:sz="2" w:space="0" w:color="E3E3E3"/>
                                                <w:bottom w:val="single" w:sz="2" w:space="0" w:color="E3E3E3"/>
                                                <w:right w:val="single" w:sz="2" w:space="0" w:color="E3E3E3"/>
                                              </w:divBdr>
                                              <w:divsChild>
                                                <w:div w:id="630328217">
                                                  <w:marLeft w:val="0"/>
                                                  <w:marRight w:val="0"/>
                                                  <w:marTop w:val="0"/>
                                                  <w:marBottom w:val="0"/>
                                                  <w:divBdr>
                                                    <w:top w:val="single" w:sz="2" w:space="0" w:color="E3E3E3"/>
                                                    <w:left w:val="single" w:sz="2" w:space="0" w:color="E3E3E3"/>
                                                    <w:bottom w:val="single" w:sz="2" w:space="0" w:color="E3E3E3"/>
                                                    <w:right w:val="single" w:sz="2" w:space="0" w:color="E3E3E3"/>
                                                  </w:divBdr>
                                                  <w:divsChild>
                                                    <w:div w:id="1316955546">
                                                      <w:marLeft w:val="0"/>
                                                      <w:marRight w:val="0"/>
                                                      <w:marTop w:val="0"/>
                                                      <w:marBottom w:val="0"/>
                                                      <w:divBdr>
                                                        <w:top w:val="single" w:sz="2" w:space="0" w:color="E3E3E3"/>
                                                        <w:left w:val="single" w:sz="2" w:space="0" w:color="E3E3E3"/>
                                                        <w:bottom w:val="single" w:sz="2" w:space="0" w:color="E3E3E3"/>
                                                        <w:right w:val="single" w:sz="2" w:space="0" w:color="E3E3E3"/>
                                                      </w:divBdr>
                                                      <w:divsChild>
                                                        <w:div w:id="17485317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44987726">
          <w:marLeft w:val="0"/>
          <w:marRight w:val="0"/>
          <w:marTop w:val="0"/>
          <w:marBottom w:val="0"/>
          <w:divBdr>
            <w:top w:val="single" w:sz="2" w:space="0" w:color="E3E3E3"/>
            <w:left w:val="single" w:sz="2" w:space="0" w:color="E3E3E3"/>
            <w:bottom w:val="single" w:sz="2" w:space="0" w:color="E3E3E3"/>
            <w:right w:val="single" w:sz="2" w:space="0" w:color="E3E3E3"/>
          </w:divBdr>
          <w:divsChild>
            <w:div w:id="1494682521">
              <w:marLeft w:val="0"/>
              <w:marRight w:val="0"/>
              <w:marTop w:val="0"/>
              <w:marBottom w:val="0"/>
              <w:divBdr>
                <w:top w:val="single" w:sz="2" w:space="0" w:color="E3E3E3"/>
                <w:left w:val="single" w:sz="2" w:space="0" w:color="E3E3E3"/>
                <w:bottom w:val="single" w:sz="2" w:space="0" w:color="E3E3E3"/>
                <w:right w:val="single" w:sz="2" w:space="0" w:color="E3E3E3"/>
              </w:divBdr>
              <w:divsChild>
                <w:div w:id="15975900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843474993">
      <w:bodyDiv w:val="1"/>
      <w:marLeft w:val="0"/>
      <w:marRight w:val="0"/>
      <w:marTop w:val="0"/>
      <w:marBottom w:val="0"/>
      <w:divBdr>
        <w:top w:val="none" w:sz="0" w:space="0" w:color="auto"/>
        <w:left w:val="none" w:sz="0" w:space="0" w:color="auto"/>
        <w:bottom w:val="none" w:sz="0" w:space="0" w:color="auto"/>
        <w:right w:val="none" w:sz="0" w:space="0" w:color="auto"/>
      </w:divBdr>
      <w:divsChild>
        <w:div w:id="185411415">
          <w:marLeft w:val="0"/>
          <w:marRight w:val="0"/>
          <w:marTop w:val="0"/>
          <w:marBottom w:val="0"/>
          <w:divBdr>
            <w:top w:val="single" w:sz="2" w:space="0" w:color="E3E3E3"/>
            <w:left w:val="single" w:sz="2" w:space="0" w:color="E3E3E3"/>
            <w:bottom w:val="single" w:sz="2" w:space="0" w:color="E3E3E3"/>
            <w:right w:val="single" w:sz="2" w:space="0" w:color="E3E3E3"/>
          </w:divBdr>
          <w:divsChild>
            <w:div w:id="1041243989">
              <w:marLeft w:val="0"/>
              <w:marRight w:val="0"/>
              <w:marTop w:val="0"/>
              <w:marBottom w:val="0"/>
              <w:divBdr>
                <w:top w:val="single" w:sz="2" w:space="0" w:color="E3E3E3"/>
                <w:left w:val="single" w:sz="2" w:space="0" w:color="E3E3E3"/>
                <w:bottom w:val="single" w:sz="2" w:space="0" w:color="E3E3E3"/>
                <w:right w:val="single" w:sz="2" w:space="0" w:color="E3E3E3"/>
              </w:divBdr>
              <w:divsChild>
                <w:div w:id="1713311993">
                  <w:marLeft w:val="0"/>
                  <w:marRight w:val="0"/>
                  <w:marTop w:val="0"/>
                  <w:marBottom w:val="0"/>
                  <w:divBdr>
                    <w:top w:val="single" w:sz="2" w:space="0" w:color="E3E3E3"/>
                    <w:left w:val="single" w:sz="2" w:space="0" w:color="E3E3E3"/>
                    <w:bottom w:val="single" w:sz="2" w:space="0" w:color="E3E3E3"/>
                    <w:right w:val="single" w:sz="2" w:space="0" w:color="E3E3E3"/>
                  </w:divBdr>
                  <w:divsChild>
                    <w:div w:id="1436095172">
                      <w:marLeft w:val="0"/>
                      <w:marRight w:val="0"/>
                      <w:marTop w:val="0"/>
                      <w:marBottom w:val="0"/>
                      <w:divBdr>
                        <w:top w:val="single" w:sz="2" w:space="0" w:color="E3E3E3"/>
                        <w:left w:val="single" w:sz="2" w:space="0" w:color="E3E3E3"/>
                        <w:bottom w:val="single" w:sz="2" w:space="0" w:color="E3E3E3"/>
                        <w:right w:val="single" w:sz="2" w:space="0" w:color="E3E3E3"/>
                      </w:divBdr>
                      <w:divsChild>
                        <w:div w:id="1450471834">
                          <w:marLeft w:val="0"/>
                          <w:marRight w:val="0"/>
                          <w:marTop w:val="0"/>
                          <w:marBottom w:val="0"/>
                          <w:divBdr>
                            <w:top w:val="single" w:sz="2" w:space="0" w:color="E3E3E3"/>
                            <w:left w:val="single" w:sz="2" w:space="0" w:color="E3E3E3"/>
                            <w:bottom w:val="single" w:sz="2" w:space="0" w:color="E3E3E3"/>
                            <w:right w:val="single" w:sz="2" w:space="0" w:color="E3E3E3"/>
                          </w:divBdr>
                          <w:divsChild>
                            <w:div w:id="107286975">
                              <w:marLeft w:val="0"/>
                              <w:marRight w:val="0"/>
                              <w:marTop w:val="0"/>
                              <w:marBottom w:val="0"/>
                              <w:divBdr>
                                <w:top w:val="single" w:sz="2" w:space="0" w:color="E3E3E3"/>
                                <w:left w:val="single" w:sz="2" w:space="0" w:color="E3E3E3"/>
                                <w:bottom w:val="single" w:sz="2" w:space="0" w:color="E3E3E3"/>
                                <w:right w:val="single" w:sz="2" w:space="0" w:color="E3E3E3"/>
                              </w:divBdr>
                              <w:divsChild>
                                <w:div w:id="800730322">
                                  <w:marLeft w:val="0"/>
                                  <w:marRight w:val="0"/>
                                  <w:marTop w:val="100"/>
                                  <w:marBottom w:val="100"/>
                                  <w:divBdr>
                                    <w:top w:val="single" w:sz="2" w:space="0" w:color="E3E3E3"/>
                                    <w:left w:val="single" w:sz="2" w:space="0" w:color="E3E3E3"/>
                                    <w:bottom w:val="single" w:sz="2" w:space="0" w:color="E3E3E3"/>
                                    <w:right w:val="single" w:sz="2" w:space="0" w:color="E3E3E3"/>
                                  </w:divBdr>
                                  <w:divsChild>
                                    <w:div w:id="1676613124">
                                      <w:marLeft w:val="0"/>
                                      <w:marRight w:val="0"/>
                                      <w:marTop w:val="0"/>
                                      <w:marBottom w:val="0"/>
                                      <w:divBdr>
                                        <w:top w:val="single" w:sz="2" w:space="0" w:color="E3E3E3"/>
                                        <w:left w:val="single" w:sz="2" w:space="0" w:color="E3E3E3"/>
                                        <w:bottom w:val="single" w:sz="2" w:space="0" w:color="E3E3E3"/>
                                        <w:right w:val="single" w:sz="2" w:space="0" w:color="E3E3E3"/>
                                      </w:divBdr>
                                      <w:divsChild>
                                        <w:div w:id="476577838">
                                          <w:marLeft w:val="0"/>
                                          <w:marRight w:val="0"/>
                                          <w:marTop w:val="0"/>
                                          <w:marBottom w:val="0"/>
                                          <w:divBdr>
                                            <w:top w:val="single" w:sz="2" w:space="0" w:color="E3E3E3"/>
                                            <w:left w:val="single" w:sz="2" w:space="0" w:color="E3E3E3"/>
                                            <w:bottom w:val="single" w:sz="2" w:space="0" w:color="E3E3E3"/>
                                            <w:right w:val="single" w:sz="2" w:space="0" w:color="E3E3E3"/>
                                          </w:divBdr>
                                          <w:divsChild>
                                            <w:div w:id="1636714011">
                                              <w:marLeft w:val="0"/>
                                              <w:marRight w:val="0"/>
                                              <w:marTop w:val="0"/>
                                              <w:marBottom w:val="0"/>
                                              <w:divBdr>
                                                <w:top w:val="single" w:sz="2" w:space="0" w:color="E3E3E3"/>
                                                <w:left w:val="single" w:sz="2" w:space="0" w:color="E3E3E3"/>
                                                <w:bottom w:val="single" w:sz="2" w:space="0" w:color="E3E3E3"/>
                                                <w:right w:val="single" w:sz="2" w:space="0" w:color="E3E3E3"/>
                                              </w:divBdr>
                                              <w:divsChild>
                                                <w:div w:id="1066799174">
                                                  <w:marLeft w:val="0"/>
                                                  <w:marRight w:val="0"/>
                                                  <w:marTop w:val="0"/>
                                                  <w:marBottom w:val="0"/>
                                                  <w:divBdr>
                                                    <w:top w:val="single" w:sz="2" w:space="0" w:color="E3E3E3"/>
                                                    <w:left w:val="single" w:sz="2" w:space="0" w:color="E3E3E3"/>
                                                    <w:bottom w:val="single" w:sz="2" w:space="0" w:color="E3E3E3"/>
                                                    <w:right w:val="single" w:sz="2" w:space="0" w:color="E3E3E3"/>
                                                  </w:divBdr>
                                                  <w:divsChild>
                                                    <w:div w:id="999190234">
                                                      <w:marLeft w:val="0"/>
                                                      <w:marRight w:val="0"/>
                                                      <w:marTop w:val="0"/>
                                                      <w:marBottom w:val="0"/>
                                                      <w:divBdr>
                                                        <w:top w:val="single" w:sz="2" w:space="0" w:color="E3E3E3"/>
                                                        <w:left w:val="single" w:sz="2" w:space="0" w:color="E3E3E3"/>
                                                        <w:bottom w:val="single" w:sz="2" w:space="0" w:color="E3E3E3"/>
                                                        <w:right w:val="single" w:sz="2" w:space="0" w:color="E3E3E3"/>
                                                      </w:divBdr>
                                                      <w:divsChild>
                                                        <w:div w:id="174105314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832909565">
          <w:marLeft w:val="0"/>
          <w:marRight w:val="0"/>
          <w:marTop w:val="0"/>
          <w:marBottom w:val="0"/>
          <w:divBdr>
            <w:top w:val="single" w:sz="2" w:space="0" w:color="E3E3E3"/>
            <w:left w:val="single" w:sz="2" w:space="0" w:color="E3E3E3"/>
            <w:bottom w:val="single" w:sz="2" w:space="0" w:color="E3E3E3"/>
            <w:right w:val="single" w:sz="2" w:space="0" w:color="E3E3E3"/>
          </w:divBdr>
          <w:divsChild>
            <w:div w:id="412046580">
              <w:marLeft w:val="0"/>
              <w:marRight w:val="0"/>
              <w:marTop w:val="0"/>
              <w:marBottom w:val="0"/>
              <w:divBdr>
                <w:top w:val="single" w:sz="2" w:space="0" w:color="E3E3E3"/>
                <w:left w:val="single" w:sz="2" w:space="0" w:color="E3E3E3"/>
                <w:bottom w:val="single" w:sz="2" w:space="0" w:color="E3E3E3"/>
                <w:right w:val="single" w:sz="2" w:space="0" w:color="E3E3E3"/>
              </w:divBdr>
              <w:divsChild>
                <w:div w:id="147379355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857500055">
      <w:bodyDiv w:val="1"/>
      <w:marLeft w:val="0"/>
      <w:marRight w:val="0"/>
      <w:marTop w:val="0"/>
      <w:marBottom w:val="0"/>
      <w:divBdr>
        <w:top w:val="none" w:sz="0" w:space="0" w:color="auto"/>
        <w:left w:val="none" w:sz="0" w:space="0" w:color="auto"/>
        <w:bottom w:val="none" w:sz="0" w:space="0" w:color="auto"/>
        <w:right w:val="none" w:sz="0" w:space="0" w:color="auto"/>
      </w:divBdr>
    </w:div>
    <w:div w:id="1905022281">
      <w:bodyDiv w:val="1"/>
      <w:marLeft w:val="0"/>
      <w:marRight w:val="0"/>
      <w:marTop w:val="0"/>
      <w:marBottom w:val="0"/>
      <w:divBdr>
        <w:top w:val="none" w:sz="0" w:space="0" w:color="auto"/>
        <w:left w:val="none" w:sz="0" w:space="0" w:color="auto"/>
        <w:bottom w:val="none" w:sz="0" w:space="0" w:color="auto"/>
        <w:right w:val="none" w:sz="0" w:space="0" w:color="auto"/>
      </w:divBdr>
    </w:div>
    <w:div w:id="1999192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5F80731-1A7B-8B4A-97DC-70317E929DE6}">
  <we:reference id="f518cb36-c901-4d52-a9e7-4331342e485d" version="1.2.0.0" store="EXCatalog" storeType="EXCatalog"/>
  <we:alternateReferences>
    <we:reference id="WA200001011" version="1.2.0.0" store="en-US"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445</TotalTime>
  <Pages>19</Pages>
  <Words>9492</Words>
  <Characters>54106</Characters>
  <Application>Microsoft Office Word</Application>
  <DocSecurity>0</DocSecurity>
  <Lines>450</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Jacopo Binati</dc:creator>
  <cp:keywords/>
  <dc:description/>
  <cp:lastModifiedBy>Jacopo Binati</cp:lastModifiedBy>
  <cp:revision>73</cp:revision>
  <dcterms:created xsi:type="dcterms:W3CDTF">2024-04-02T08:17:00Z</dcterms:created>
  <dcterms:modified xsi:type="dcterms:W3CDTF">2024-05-09T18:45:00Z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id="sdFrGLEO"/&gt;&lt;style id="http://www.zotero.org/styles/chicago-author-date" locale="en-US" hasBibliography="1" bibliographyStyleHasBeenSet="1"/&gt;&lt;prefs&gt;&lt;pref name="fieldType" value="Field"/&gt;&lt;pref name</vt:lpwstr>
  </property>
  <property fmtid="{D5CDD505-2E9C-101B-9397-08002B2CF9AE}" pid="3" name="ZOTERO_PREF_2">
    <vt:lpwstr>="automaticJournalAbbreviations" value="true"/&gt;&lt;/prefs&gt;&lt;/data&gt;</vt:lpwstr>
  </property>
  <property fmtid="{D5CDD505-2E9C-101B-9397-08002B2CF9AE}" pid="4" name="grammarly_documentId">
    <vt:lpwstr>documentId_4248</vt:lpwstr>
  </property>
  <property fmtid="{D5CDD505-2E9C-101B-9397-08002B2CF9AE}" pid="5" name="grammarly_documentContext">
    <vt:lpwstr>{"goals":[],"domain":"general","emotions":[],"dialect":"british"}</vt:lpwstr>
  </property>
</Properties>
</file>