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Default="00190178" w:rsidP="00605CFF">
      <w:pPr>
        <w:rPr>
          <w:lang w:eastAsia="en-US"/>
        </w:rPr>
      </w:pPr>
    </w:p>
    <w:p w14:paraId="6FA92B96" w14:textId="77777777" w:rsidR="00E30F09" w:rsidRDefault="00E30F09" w:rsidP="00605CFF">
      <w:pPr>
        <w:rPr>
          <w:lang w:eastAsia="en-US"/>
        </w:rPr>
      </w:pPr>
    </w:p>
    <w:p w14:paraId="5E966BFB" w14:textId="77777777" w:rsidR="00E30F09" w:rsidRDefault="00E30F09" w:rsidP="00605CFF">
      <w:pPr>
        <w:rPr>
          <w:lang w:eastAsia="en-US"/>
        </w:rPr>
      </w:pPr>
    </w:p>
    <w:p w14:paraId="237BAF72" w14:textId="77777777" w:rsidR="00E30F09" w:rsidRDefault="00E30F09" w:rsidP="00605CFF">
      <w:pPr>
        <w:rPr>
          <w:lang w:eastAsia="en-US"/>
        </w:rPr>
      </w:pPr>
    </w:p>
    <w:p w14:paraId="1E7BA5F1" w14:textId="77777777" w:rsidR="00E30F09" w:rsidRDefault="00E30F09" w:rsidP="00605CFF">
      <w:pPr>
        <w:rPr>
          <w:lang w:eastAsia="en-US"/>
        </w:rPr>
      </w:pPr>
    </w:p>
    <w:p w14:paraId="0FD49FC7" w14:textId="77777777" w:rsidR="00E30F09" w:rsidRDefault="00E30F09" w:rsidP="00605CFF">
      <w:pPr>
        <w:rPr>
          <w:lang w:eastAsia="en-US"/>
        </w:rPr>
      </w:pPr>
    </w:p>
    <w:p w14:paraId="4FDFB40F" w14:textId="77777777" w:rsidR="00E30F09" w:rsidRDefault="00E30F09" w:rsidP="00605CFF">
      <w:pPr>
        <w:rPr>
          <w:lang w:eastAsia="en-US"/>
        </w:rPr>
      </w:pPr>
    </w:p>
    <w:p w14:paraId="5975FEAC" w14:textId="77777777" w:rsidR="00E30F09" w:rsidRDefault="00E30F09" w:rsidP="00605CFF">
      <w:pPr>
        <w:rPr>
          <w:lang w:eastAsia="en-US"/>
        </w:rPr>
      </w:pPr>
    </w:p>
    <w:p w14:paraId="11CC3BA7" w14:textId="77777777" w:rsidR="00E30F09" w:rsidRDefault="00E30F09" w:rsidP="00605CFF">
      <w:pPr>
        <w:rPr>
          <w:lang w:eastAsia="en-US"/>
        </w:rPr>
      </w:pPr>
    </w:p>
    <w:p w14:paraId="589F72DA" w14:textId="77777777" w:rsidR="00E30F09" w:rsidRDefault="00E30F09" w:rsidP="00605CFF">
      <w:pPr>
        <w:rPr>
          <w:lang w:eastAsia="en-US"/>
        </w:rPr>
      </w:pPr>
    </w:p>
    <w:p w14:paraId="187BE941" w14:textId="77777777" w:rsidR="00E30F09" w:rsidRDefault="00E30F09" w:rsidP="00605CFF">
      <w:pPr>
        <w:rPr>
          <w:lang w:eastAsia="en-US"/>
        </w:rPr>
      </w:pPr>
    </w:p>
    <w:p w14:paraId="512CCEF6" w14:textId="77777777" w:rsidR="00E30F09" w:rsidRDefault="00E30F09" w:rsidP="00605CFF">
      <w:pPr>
        <w:rPr>
          <w:lang w:eastAsia="en-US"/>
        </w:rPr>
      </w:pPr>
    </w:p>
    <w:p w14:paraId="5E054DC5" w14:textId="77777777" w:rsidR="00E30F09" w:rsidRDefault="00E30F09" w:rsidP="00605CFF">
      <w:pPr>
        <w:rPr>
          <w:lang w:eastAsia="en-US"/>
        </w:rPr>
      </w:pPr>
    </w:p>
    <w:p w14:paraId="774929A7" w14:textId="77777777" w:rsidR="00E30F09" w:rsidRDefault="00E30F09" w:rsidP="00605CFF">
      <w:pPr>
        <w:rPr>
          <w:lang w:eastAsia="en-US"/>
        </w:rPr>
      </w:pPr>
    </w:p>
    <w:p w14:paraId="5B938A0E" w14:textId="77777777" w:rsidR="00E30F09" w:rsidRDefault="00E30F09" w:rsidP="00605CFF">
      <w:pPr>
        <w:rPr>
          <w:lang w:eastAsia="en-US"/>
        </w:rPr>
      </w:pPr>
    </w:p>
    <w:p w14:paraId="74DE5041" w14:textId="77777777" w:rsidR="00E30F09" w:rsidRDefault="00E30F09" w:rsidP="00605CFF">
      <w:pPr>
        <w:rPr>
          <w:lang w:eastAsia="en-US"/>
        </w:rPr>
      </w:pPr>
    </w:p>
    <w:p w14:paraId="63425D77" w14:textId="77777777" w:rsidR="00E30F09" w:rsidRDefault="00E30F09" w:rsidP="00605CFF">
      <w:pPr>
        <w:rPr>
          <w:lang w:eastAsia="en-US"/>
        </w:rPr>
      </w:pPr>
    </w:p>
    <w:p w14:paraId="1DED726A" w14:textId="77777777" w:rsidR="00E30F09" w:rsidRPr="00190178" w:rsidRDefault="00E30F09" w:rsidP="00605CFF">
      <w:pPr>
        <w:rPr>
          <w:lang w:eastAsia="en-US"/>
        </w:rPr>
      </w:pPr>
    </w:p>
    <w:p w14:paraId="602E3C7F" w14:textId="3B419BF4" w:rsidR="00BC3DC1" w:rsidRDefault="00BC3DC1" w:rsidP="00ED10FF">
      <w:pPr>
        <w:pStyle w:val="Heading1"/>
      </w:pPr>
      <w:r>
        <w:lastRenderedPageBreak/>
        <w:t>Introduction</w:t>
      </w:r>
    </w:p>
    <w:p w14:paraId="1221C71B" w14:textId="77777777" w:rsidR="008A594A" w:rsidRPr="008A594A" w:rsidRDefault="008A594A" w:rsidP="008A594A">
      <w:pPr>
        <w:rPr>
          <w:lang w:eastAsia="en-US"/>
        </w:rPr>
      </w:pPr>
    </w:p>
    <w:p w14:paraId="7CD7E036" w14:textId="3326DE1E" w:rsidR="00F300BA" w:rsidRDefault="00505875" w:rsidP="00605CFF">
      <w:r>
        <w:t xml:space="preserve">The volatile and asymmetrical landscape of the global economy has sharp focused the subtle linkages between practices adopted in labour markets and the surging prevalence of economic disparity </w:t>
      </w:r>
      <w:r w:rsidR="008D3A76" w:rsidRPr="008D3A76">
        <w:t xml:space="preserve">(ILO, n.d.). </w:t>
      </w:r>
      <w:r>
        <w:t xml:space="preserve">Of the multifaceted forces influencing labour market dynamics, collective bargaining has been vaunted as a vital instrument of fairness in employment conditions and equitable distribution of wage </w:t>
      </w:r>
      <w:r w:rsidR="008D3A76" w:rsidRPr="008D3A76">
        <w:t xml:space="preserve">(ILO, n.d.). </w:t>
      </w:r>
    </w:p>
    <w:p w14:paraId="571907AE" w14:textId="77777777" w:rsidR="00F300BA" w:rsidRDefault="00F300BA" w:rsidP="00605CFF"/>
    <w:p w14:paraId="7CA638D7" w14:textId="0A454334" w:rsidR="0052667B" w:rsidRDefault="00F300BA" w:rsidP="007E7393">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483D3814" w14:textId="77777777" w:rsidR="007E7393" w:rsidRDefault="007E7393" w:rsidP="007E7393"/>
    <w:p w14:paraId="7BB6D2E2" w14:textId="44A9D48A" w:rsidR="007E7393" w:rsidRDefault="007E7393" w:rsidP="007E7393">
      <w:pPr>
        <w:rPr>
          <w:rFonts w:eastAsiaTheme="minorHAnsi"/>
          <w:lang w:val="en-GB"/>
        </w:rPr>
      </w:pPr>
      <w:r>
        <w:rPr>
          <w:rFonts w:eastAsiaTheme="minorHAnsi"/>
          <w:lang w:val="en-GB"/>
        </w:rPr>
        <w:t xml:space="preserve">The extent of decline and the changing composition of membership within European trade unions since 1980 have been profound, shaping the landscape of collective bargaining and labour representation. According to </w:t>
      </w:r>
      <w:r w:rsidR="004B52B7">
        <w:rPr>
          <w:rFonts w:eastAsiaTheme="minorHAnsi"/>
          <w:lang w:val="en-GB"/>
        </w:rPr>
        <w:t xml:space="preserve">the </w:t>
      </w:r>
      <w:r>
        <w:rPr>
          <w:rFonts w:eastAsiaTheme="minorHAnsi"/>
          <w:lang w:val="en-GB"/>
        </w:rPr>
        <w:t xml:space="preserve">European Trade Union Institute (ETUI), Trade union density has notably decreased in many European countries, with estimates indicating a decline from 32.6 percent in 1995 to 26.4 percent in 2001 across the EU25. This decline is particularly pronounced among new member states, where density plummeted from 42.7 percent to 20.4 </w:t>
      </w:r>
      <w:r>
        <w:rPr>
          <w:rFonts w:eastAsiaTheme="minorHAnsi"/>
          <w:lang w:val="en-GB"/>
        </w:rPr>
        <w:lastRenderedPageBreak/>
        <w:t xml:space="preserve">percent between 1995 and 2001, while in the EU15, it decreased from 31.0 percent to 27.3 percent over the same period </w:t>
      </w:r>
      <w:r>
        <w:rPr>
          <w:rFonts w:eastAsiaTheme="minorHAnsi"/>
          <w:lang w:val="en-GB"/>
        </w:rPr>
        <w:fldChar w:fldCharType="begin"/>
      </w:r>
      <w:r>
        <w:rPr>
          <w:rFonts w:eastAsiaTheme="minorHAnsi"/>
          <w:lang w:val="en-GB"/>
        </w:rPr>
        <w:instrText xml:space="preserve"> ADDIN ZOTERO_ITEM CSL_CITATION {"citationID":"UBlC5S5u","properties":{"formattedCitation":"(Jeremy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Pr>
          <w:rFonts w:eastAsiaTheme="minorHAnsi"/>
          <w:lang w:val="en-GB"/>
        </w:rPr>
        <w:fldChar w:fldCharType="separate"/>
      </w:r>
      <w:r>
        <w:rPr>
          <w:rFonts w:eastAsiaTheme="minorHAnsi"/>
          <w:noProof/>
          <w:lang w:val="en-GB"/>
        </w:rPr>
        <w:t>(Jeremy Waddington 2005)</w:t>
      </w:r>
      <w:r>
        <w:rPr>
          <w:rFonts w:eastAsiaTheme="minorHAnsi"/>
          <w:lang w:val="en-GB"/>
        </w:rPr>
        <w:fldChar w:fldCharType="end"/>
      </w:r>
      <w:r>
        <w:rPr>
          <w:rFonts w:eastAsiaTheme="minorHAnsi"/>
          <w:lang w:val="en-GB"/>
        </w:rPr>
        <w:t>.</w:t>
      </w:r>
      <w:r w:rsidR="00F82282">
        <w:rPr>
          <w:rFonts w:eastAsiaTheme="minorHAnsi"/>
          <w:lang w:val="en-GB"/>
        </w:rPr>
        <w:t xml:space="preserve"> This declining trend can also be seen from the below graph, which describes the trend of Unions density and coverage over time, on average, for European countries. </w:t>
      </w:r>
    </w:p>
    <w:p w14:paraId="64EFBC07" w14:textId="77777777" w:rsidR="00F82282" w:rsidRDefault="00F82282" w:rsidP="007E7393"/>
    <w:p w14:paraId="397FCBE5" w14:textId="6835849A" w:rsidR="007E7393" w:rsidRDefault="00AE655F" w:rsidP="007E7393">
      <w:pPr>
        <w:rPr>
          <w:b/>
          <w:bCs/>
        </w:rPr>
      </w:pPr>
      <w:r w:rsidRPr="00AE655F">
        <w:rPr>
          <w:b/>
          <w:bCs/>
        </w:rPr>
        <w:t>[/Users/jacopobinati/Desktop/thesis/Images/averageovertime.png]</w:t>
      </w:r>
    </w:p>
    <w:p w14:paraId="25FAE26B" w14:textId="0E160DA9" w:rsidR="002D15B4" w:rsidRDefault="00F82282" w:rsidP="007E7393">
      <w:pPr>
        <w:rPr>
          <w:b/>
          <w:bCs/>
        </w:rPr>
      </w:pPr>
      <w:r>
        <w:rPr>
          <w:noProof/>
          <w14:ligatures w14:val="standardContextual"/>
        </w:rPr>
        <w:drawing>
          <wp:inline distT="0" distB="0" distL="0" distR="0" wp14:anchorId="7F16CC61" wp14:editId="3EA94092">
            <wp:extent cx="5731510" cy="3439160"/>
            <wp:effectExtent l="0" t="0" r="0" b="0"/>
            <wp:docPr id="1236035959"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9730" name="Picture 2" descr="A graph with a line going u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70C8A16" w14:textId="77777777" w:rsidR="00F82282" w:rsidRPr="00AE655F" w:rsidRDefault="00F82282" w:rsidP="007E7393">
      <w:pPr>
        <w:rPr>
          <w:b/>
          <w:bCs/>
        </w:rPr>
      </w:pPr>
    </w:p>
    <w:p w14:paraId="56825C65" w14:textId="4551AF74" w:rsidR="00605CFF" w:rsidRDefault="002B4739" w:rsidP="00605CFF">
      <w:r>
        <w:t>This analysis</w:t>
      </w:r>
      <w:r w:rsidR="00F82282">
        <w:t>, therefore,</w:t>
      </w:r>
      <w:r>
        <w:t xml:space="preserve"> delves deeper into the complex relationship between collective bargaining and economic inequality. </w:t>
      </w:r>
      <w:r w:rsidR="00AE655F">
        <w:t>I</w:t>
      </w:r>
      <w:r>
        <w:t xml:space="preserve"> will explore the theoretical underpinnings of collective bargaining as an equalizer and examine the empirical evidence regarding its effectiveness. </w:t>
      </w:r>
      <w:r w:rsidR="00AE655F">
        <w:t>I</w:t>
      </w:r>
      <w:r>
        <w:t xml:space="preserve"> will also consider the various factors that influence the success of collective bargaining efforts and their ultimate impact on reducing economic inequality.</w:t>
      </w:r>
    </w:p>
    <w:p w14:paraId="3C3FDC22" w14:textId="77777777" w:rsidR="00F82282" w:rsidRDefault="00F82282" w:rsidP="00605CFF"/>
    <w:p w14:paraId="033C7603" w14:textId="2D7A286F" w:rsidR="008D3A76" w:rsidRDefault="008D3A76" w:rsidP="00605CFF">
      <w:pPr>
        <w:pStyle w:val="Heading1"/>
      </w:pPr>
      <w:r>
        <w:lastRenderedPageBreak/>
        <w:t>Methodology</w:t>
      </w:r>
    </w:p>
    <w:p w14:paraId="399FAA65" w14:textId="77777777" w:rsidR="008A594A" w:rsidRPr="008A594A" w:rsidRDefault="008A594A" w:rsidP="008A594A">
      <w:pPr>
        <w:rPr>
          <w:lang w:eastAsia="en-US"/>
        </w:rPr>
      </w:pP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9E6F08B" w14:textId="0306167F" w:rsidR="00605CFF" w:rsidRDefault="00B65834" w:rsidP="00605CFF">
      <w:r>
        <w:t>This research d</w:t>
      </w:r>
      <w:r w:rsidR="002B4739" w:rsidRPr="002B4739">
        <w:t>r</w:t>
      </w:r>
      <w:r>
        <w:t>ew</w:t>
      </w:r>
      <w:r w:rsidR="002B4739" w:rsidRPr="002B4739">
        <w:t xml:space="preserve"> inspiration from the work of </w:t>
      </w:r>
      <w:r w:rsidR="006059F9">
        <w:t>D</w:t>
      </w:r>
      <w:r>
        <w:t>avid</w:t>
      </w:r>
      <w:r w:rsidR="006059F9">
        <w:t xml:space="preserve"> </w:t>
      </w:r>
      <w:r w:rsidR="002B4739" w:rsidRPr="002B4739">
        <w:t>Card (</w:t>
      </w:r>
      <w:r w:rsidR="006059F9">
        <w:t>2001</w:t>
      </w:r>
      <w:r w:rsidR="002B4739" w:rsidRPr="002B4739">
        <w:t xml:space="preserve">) and </w:t>
      </w:r>
      <w:r w:rsidR="006059F9">
        <w:t>Richard B. Freeman</w:t>
      </w:r>
      <w:r w:rsidR="002B4739" w:rsidRPr="002B4739">
        <w:t xml:space="preserve"> (</w:t>
      </w:r>
      <w:r w:rsidR="006059F9">
        <w:t>1984</w:t>
      </w:r>
      <w:r w:rsidR="002B4739" w:rsidRPr="002B4739">
        <w:t xml:space="preserve">), </w:t>
      </w:r>
      <w:r>
        <w:t>adopting a comprehensive approach that encompassed various perspectives</w:t>
      </w:r>
      <w:r w:rsidR="006059F9">
        <w:t xml:space="preserve"> </w:t>
      </w:r>
      <w:r w:rsidR="006059F9">
        <w:fldChar w:fldCharType="begin"/>
      </w:r>
      <w:r w:rsidR="005D5952">
        <w:instrText xml:space="preserve"> ADDIN ZOTERO_ITEM CSL_CITATION {"citationID":"eYtgErk4","properties":{"formattedCitation":"(David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6059F9">
        <w:fldChar w:fldCharType="separate"/>
      </w:r>
      <w:r w:rsidR="005D5952">
        <w:rPr>
          <w:noProof/>
        </w:rPr>
        <w:t>(David Card 2001)</w:t>
      </w:r>
      <w:r w:rsidR="006059F9">
        <w:fldChar w:fldCharType="end"/>
      </w:r>
      <w:r>
        <w:t>,</w:t>
      </w:r>
      <w:r w:rsidR="006059F9">
        <w:t xml:space="preserve"> </w:t>
      </w:r>
      <w:r w:rsidR="006059F9">
        <w:fldChar w:fldCharType="begin"/>
      </w:r>
      <w:r w:rsidR="00545C3B">
        <w:instrText xml:space="preserve"> ADDIN ZOTERO_ITEM CSL_CITATION {"citationID":"UmN49JY6","properties":{"formattedCitation":"(Richard B. Freeman, James L. Medoff 1985)","plainCitation":"(Richard B. Freeman, James L. Medoff 1985)","noteIndex":0},"citationItems":[{"id":273,"uris":["http://zotero.org/users/11278442/items/U7KXSYWB"],"itemData":{"id":273,"type":"report","genre":"Paper","language":"English","source":"DOI: 10.1177/001979398503800207","title":"What Do Unions Do?","URL":"https://journals.sagepub.com/doi/abs/10.1177/001979398503800207","author":[{"literal":"Richard B. Freeman, James L. Medoff"}],"accessed":{"date-parts":[["2024",5,11]]},"issued":{"date-parts":[["1985"]]}}}],"schema":"https://github.com/citation-style-language/schema/raw/master/csl-citation.json"} </w:instrText>
      </w:r>
      <w:r w:rsidR="006059F9">
        <w:fldChar w:fldCharType="separate"/>
      </w:r>
      <w:r w:rsidR="00545C3B">
        <w:rPr>
          <w:noProof/>
        </w:rPr>
        <w:t>(Richard B. Freeman, James L. Medoff 1985)</w:t>
      </w:r>
      <w:r w:rsidR="006059F9">
        <w:fldChar w:fldCharType="end"/>
      </w:r>
      <w:r w:rsidR="002B4739" w:rsidRPr="002B4739">
        <w:t xml:space="preserve">. </w:t>
      </w:r>
      <w:r w:rsidR="006059F9">
        <w:t>By leveraging</w:t>
      </w:r>
      <w:r w:rsidR="002B4739" w:rsidRPr="002B4739">
        <w:t xml:space="preserve"> empirical evidence from sources like </w:t>
      </w:r>
      <w:r w:rsidR="00D176C7">
        <w:rPr>
          <w:lang w:val="en-US"/>
        </w:rPr>
        <w:t>World Bank Dataset</w:t>
      </w:r>
      <w:r w:rsidR="002B4739" w:rsidRPr="002B4739">
        <w:t xml:space="preserve"> and OECD databases, focusing on data related to trade union coverage (encompassing both density and coverage rate), income inequality metrics (</w:t>
      </w:r>
      <w:r>
        <w:t>such as</w:t>
      </w:r>
      <w:r w:rsidR="002B4739" w:rsidRPr="002B4739">
        <w:t xml:space="preserve"> the Gini coefficient), and relevant control variables for EU countries</w:t>
      </w:r>
      <w:r>
        <w:rPr>
          <w:rStyle w:val="FootnoteReference"/>
        </w:rPr>
        <w:footnoteReference w:id="1"/>
      </w:r>
      <w:r w:rsidR="002B4739" w:rsidRPr="002B4739">
        <w:t xml:space="preserve"> over the past two decades. </w:t>
      </w:r>
    </w:p>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in each country will be explored. This analysis will examine how past trends in unionization have shaped the current landscape of labor relations and income inequality. By considering 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1B99C9B9" w:rsidR="002B4739" w:rsidRPr="002B4739" w:rsidRDefault="002B4739" w:rsidP="00605CFF">
      <w:r w:rsidRPr="002B4739">
        <w:t>Finally, to illuminate the causal pathways between trade union coverage and inequality, we will utilize established theoretical frameworks from labor economics and inequality studies. This include exploring theories of wage bargaining, monopsony power (where a single employer dominates a labor market), and rent-seeking behavior (where unions extract economic benefits for their members at the expense of others).</w:t>
      </w:r>
    </w:p>
    <w:p w14:paraId="75F1FC33" w14:textId="5D022716" w:rsidR="00DF0103" w:rsidRDefault="002B4739" w:rsidP="00605CFF">
      <w:r w:rsidRPr="002B4739">
        <w:t xml:space="preserve">This comprehensive approach goes beyond establishing correlations. By combining empirical evidence, case studies, and theoretical frameworks, this research aims to provide a robust analysis of the relationship between trade union </w:t>
      </w:r>
      <w:r w:rsidR="00B65834">
        <w:t>density</w:t>
      </w:r>
      <w:r w:rsidRPr="002B4739">
        <w:t xml:space="preserve"> and income inequality within </w:t>
      </w:r>
      <w:r w:rsidR="00B65834">
        <w:t>european countries</w:t>
      </w:r>
      <w:r w:rsidRPr="002B4739">
        <w:t xml:space="preserve">. Ultimately, this project seeks to offer valuable insights for policymakers and </w:t>
      </w:r>
      <w:r w:rsidRPr="002B4739">
        <w:lastRenderedPageBreak/>
        <w:t>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200C92F" w14:textId="7DC3D653" w:rsidR="00D620F3" w:rsidRDefault="00CF20AB" w:rsidP="00ED10FF">
      <w:pPr>
        <w:pStyle w:val="Heading1"/>
      </w:pPr>
      <w:r w:rsidRPr="00CF20AB">
        <w:rPr>
          <w:rFonts w:ascii="Arial" w:eastAsia="Times New Roman" w:hAnsi="Arial" w:cs="Arial"/>
          <w:vanish/>
          <w:sz w:val="16"/>
          <w:szCs w:val="16"/>
          <w:lang w:eastAsia="en-GB"/>
        </w:rPr>
        <w:t>Top of Form</w:t>
      </w:r>
      <w:r w:rsidRPr="00CF20AB">
        <w:rPr>
          <w:rFonts w:ascii="Arial" w:eastAsia="Times New Roman" w:hAnsi="Arial" w:cs="Arial"/>
          <w:vanish/>
          <w:kern w:val="0"/>
          <w:sz w:val="16"/>
          <w:szCs w:val="16"/>
          <w:lang w:eastAsia="en-GB"/>
          <w14:ligatures w14:val="none"/>
        </w:rPr>
        <w:t>Bottom of Form</w:t>
      </w:r>
      <w:r w:rsidR="00D620F3">
        <w:t>The Importance of Trade Unions</w:t>
      </w:r>
    </w:p>
    <w:p w14:paraId="124AC072" w14:textId="77777777" w:rsidR="008A594A" w:rsidRPr="008A594A" w:rsidRDefault="008A594A" w:rsidP="008A594A">
      <w:pPr>
        <w:rPr>
          <w:lang w:eastAsia="en-US"/>
        </w:rPr>
      </w:pP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B2DFAB9"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w:t>
      </w:r>
      <w:r w:rsidR="00B65834">
        <w:t>one aspect</w:t>
      </w:r>
      <w:r>
        <w:t>,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w:t>
      </w:r>
      <w:r>
        <w:t xml:space="preserve">Furthermore, collective bargaining plays a crucial role in promoting social justice by ensuring a more equitable distribution of economic gains. It helps reduce the wage </w:t>
      </w:r>
      <w:r>
        <w:lastRenderedPageBreak/>
        <w:t>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E240A03" w14:textId="77777777" w:rsidR="0089299F" w:rsidRDefault="0089299F" w:rsidP="00605CFF"/>
    <w:p w14:paraId="1F52244F" w14:textId="3132E395"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4633DCE4" w14:textId="77777777" w:rsidR="00DF0103" w:rsidRDefault="00DF0103" w:rsidP="00605CFF"/>
    <w:p w14:paraId="2BF88D44" w14:textId="67766269" w:rsidR="00D60A5D" w:rsidRDefault="00D60A5D" w:rsidP="00D60A5D">
      <w:pPr>
        <w:pStyle w:val="Heading2"/>
      </w:pPr>
      <w:r>
        <w:t>The extent of decline</w:t>
      </w:r>
    </w:p>
    <w:p w14:paraId="56164846" w14:textId="77777777" w:rsidR="00190178" w:rsidRDefault="00190178" w:rsidP="00605CFF"/>
    <w:p w14:paraId="5E5A5D5F" w14:textId="17779BFB" w:rsidR="00D60A5D" w:rsidRDefault="00DC0782" w:rsidP="00D60A5D">
      <w:pPr>
        <w:rPr>
          <w:rFonts w:eastAsiaTheme="minorHAnsi"/>
          <w:lang w:val="en-GB" w:eastAsia="en-US"/>
        </w:rPr>
      </w:pPr>
      <w:r>
        <w:rPr>
          <w:rFonts w:eastAsiaTheme="minorHAnsi"/>
          <w:lang w:val="en-GB" w:eastAsia="en-US"/>
        </w:rPr>
        <w:t>Nowadays, t</w:t>
      </w:r>
      <w:r w:rsidR="00D60A5D">
        <w:rPr>
          <w:rFonts w:eastAsiaTheme="minorHAnsi"/>
          <w:lang w:val="en-GB" w:eastAsia="en-US"/>
        </w:rPr>
        <w:t>rade unions represent a smaller proportion of the employed workforce in Europe than at any other time since 1950. However, it is important to state that in Nordic countries (</w:t>
      </w:r>
      <w:r>
        <w:rPr>
          <w:rFonts w:eastAsiaTheme="minorHAnsi"/>
          <w:lang w:val="en-GB" w:eastAsia="en-US"/>
        </w:rPr>
        <w:t xml:space="preserve">Norway, Island, </w:t>
      </w:r>
      <w:r w:rsidR="00D60A5D">
        <w:rPr>
          <w:rFonts w:eastAsiaTheme="minorHAnsi"/>
          <w:lang w:val="en-GB" w:eastAsia="en-US"/>
        </w:rPr>
        <w:t xml:space="preserve">Denmark, Finland, Sweden) and Belgium, the decline is marginal, thanks in </w:t>
      </w:r>
      <w:r w:rsidR="00D60A5D">
        <w:rPr>
          <w:rFonts w:eastAsiaTheme="minorHAnsi"/>
          <w:lang w:val="en-GB" w:eastAsia="en-US"/>
        </w:rPr>
        <w:lastRenderedPageBreak/>
        <w:t>part to the Ghent system, where trade unions play a role in the administration of unemployment benefits and insurance</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{"citationID":"DhXqw22m","properties":{"formattedCitation":"(Jelle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(Jelle Visser 2019)</w:t>
      </w:r>
      <w:r w:rsidR="003865A9">
        <w:rPr>
          <w:rFonts w:eastAsiaTheme="minorHAnsi"/>
          <w:lang w:val="en-GB" w:eastAsia="en-US"/>
        </w:rPr>
        <w:fldChar w:fldCharType="end"/>
      </w:r>
      <w:r w:rsidR="00D60A5D">
        <w:rPr>
          <w:rFonts w:eastAsiaTheme="minorHAnsi"/>
          <w:lang w:val="en-GB" w:eastAsia="en-US"/>
        </w:rPr>
        <w:t>.</w:t>
      </w:r>
    </w:p>
    <w:p w14:paraId="2A6390A2" w14:textId="2CA97242" w:rsidR="00DF53A8" w:rsidRPr="00DF53A8" w:rsidRDefault="00DF53A8" w:rsidP="00DF53A8">
      <w:pPr>
        <w:rPr>
          <w:lang w:val="en-GB"/>
        </w:rPr>
      </w:pPr>
      <w:r w:rsidRPr="00DF53A8">
        <w:rPr>
          <w:lang w:val="en-GB"/>
        </w:rPr>
        <w:t>Moreover, within the trend of declining membership, significant shifts have occurred in the composition of the unionized labour force over the past three decades. First, there is an increasing concentration of members employed in the public sector. This trend surpasses the rate of unionization in other sectors, such as industry and private sector services, in most countries. Second, there is a notable increase in the unionization of female workers. In several countries, women now comprise more than half of union membership.</w:t>
      </w:r>
      <w:r>
        <w:rPr>
          <w:lang w:val="en-GB"/>
        </w:rPr>
        <w:t xml:space="preserve"> </w:t>
      </w:r>
      <w:r w:rsidR="00D60A5D" w:rsidRPr="00DF53A8">
        <w:rPr>
          <w:lang w:val="en-GB"/>
        </w:rPr>
        <w:t>Union membership is becoming increasingly feminized, with women comprising more than half of union membership in several countries.</w:t>
      </w:r>
      <w:r>
        <w:rPr>
          <w:lang w:val="en-GB"/>
        </w:rPr>
        <w:t xml:space="preserve"> Lastly, r</w:t>
      </w:r>
      <w:r w:rsidR="00D60A5D" w:rsidRPr="00DF53A8">
        <w:rPr>
          <w:lang w:val="en-GB"/>
        </w:rPr>
        <w:t>etired and unemployed individuals constitute a growing proportion of union membership, ranging from 15 to 20 per cent in the EU, with considerable variation among member states.</w:t>
      </w:r>
    </w:p>
    <w:p w14:paraId="1A8FCC8A" w14:textId="07F1254A" w:rsidR="00440632" w:rsidRDefault="00D60A5D" w:rsidP="006E133F">
      <w:pPr>
        <w:rPr>
          <w:rFonts w:eastAsiaTheme="minorHAnsi"/>
          <w:lang w:val="en-GB" w:eastAsia="en-US"/>
        </w:rPr>
      </w:pPr>
      <w:r>
        <w:rPr>
          <w:rFonts w:eastAsiaTheme="minorHAnsi"/>
          <w:lang w:val="en-GB" w:eastAsia="en-US"/>
        </w:rPr>
        <w:t xml:space="preserve">The consequences of membership decline and shifts in composition are extensive for trade union organization. Shortages in financial and material resources limit the capacity to implement reforms necessary to address </w:t>
      </w:r>
      <w:r w:rsidR="00E65126">
        <w:rPr>
          <w:rFonts w:eastAsiaTheme="minorHAnsi"/>
          <w:lang w:val="en-GB" w:eastAsia="en-US"/>
        </w:rPr>
        <w:t>social</w:t>
      </w:r>
      <w:r>
        <w:rPr>
          <w:rFonts w:eastAsiaTheme="minorHAnsi"/>
          <w:lang w:val="en-GB" w:eastAsia="en-US"/>
        </w:rPr>
        <w:t xml:space="preserve"> challenges</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{"citationID":"JSaRtfCf","properties":{"formattedCitation":"(Jeremy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 xml:space="preserve">. These shifts underscore the complex dynamics shaping the role and effectiveness of trade unions in Europe's evolving </w:t>
      </w:r>
      <w:r w:rsidR="00093DD9">
        <w:rPr>
          <w:rFonts w:eastAsiaTheme="minorHAnsi"/>
          <w:lang w:val="en-GB" w:eastAsia="en-US"/>
        </w:rPr>
        <w:t>labour</w:t>
      </w:r>
      <w:r>
        <w:rPr>
          <w:rFonts w:eastAsiaTheme="minorHAnsi"/>
          <w:lang w:val="en-GB" w:eastAsia="en-US"/>
        </w:rPr>
        <w:t xml:space="preserve"> landscape, with implications for collective bargaining and efforts to address economic inequality</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{"citationID":"MDbhh7PY","properties":{"formattedCitation":"(Jeremy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w:t>
      </w:r>
    </w:p>
    <w:p w14:paraId="49303E0E" w14:textId="77777777" w:rsidR="000A0335" w:rsidRPr="000A0335" w:rsidRDefault="000A0335" w:rsidP="006E133F">
      <w:pPr>
        <w:rPr>
          <w:rFonts w:eastAsiaTheme="minorHAnsi"/>
          <w:lang w:val="en-GB" w:eastAsia="en-US"/>
        </w:rPr>
      </w:pPr>
    </w:p>
    <w:p w14:paraId="236BCDF5" w14:textId="4111D031" w:rsidR="006E133F" w:rsidRDefault="006E133F" w:rsidP="006E133F">
      <w:pPr>
        <w:rPr>
          <w:rFonts w:eastAsiaTheme="minorHAnsi"/>
          <w:lang w:val="en-GB" w:eastAsia="en-US"/>
        </w:rPr>
      </w:pPr>
      <w:r>
        <w:rPr>
          <w:rFonts w:eastAsiaTheme="minorHAnsi"/>
          <w:lang w:val="en-GB" w:eastAsia="en-US"/>
        </w:rPr>
        <w:t xml:space="preserve">Unions have long been a cornerstone of worker representation and advocacy in the </w:t>
      </w:r>
      <w:r w:rsidR="00093DD9">
        <w:rPr>
          <w:rFonts w:eastAsiaTheme="minorHAnsi"/>
          <w:lang w:val="en-GB" w:eastAsia="en-US"/>
        </w:rPr>
        <w:t>labour</w:t>
      </w:r>
      <w:r>
        <w:rPr>
          <w:rFonts w:eastAsiaTheme="minorHAnsi"/>
          <w:lang w:val="en-GB" w:eastAsia="en-US"/>
        </w:rPr>
        <w:t xml:space="preserve"> market. However, their role in the modern economy faces significant challenges. </w:t>
      </w:r>
      <w:r w:rsidR="000A0335">
        <w:rPr>
          <w:rFonts w:eastAsiaTheme="minorHAnsi"/>
          <w:lang w:val="en-GB" w:eastAsia="en-US"/>
        </w:rPr>
        <w:t>The reasons behind the decline in union membership</w:t>
      </w:r>
      <w:r w:rsidR="003C131C">
        <w:rPr>
          <w:rFonts w:eastAsiaTheme="minorHAnsi"/>
          <w:lang w:val="en-GB" w:eastAsia="en-US"/>
        </w:rPr>
        <w:t xml:space="preserve"> come from both external pressures and internal shortcomings within trade unions themselves. </w:t>
      </w:r>
      <w:r>
        <w:rPr>
          <w:rFonts w:eastAsiaTheme="minorHAnsi"/>
          <w:lang w:val="en-GB" w:eastAsia="en-US"/>
        </w:rPr>
        <w:t xml:space="preserve">At its core, this decline reflects a growing tension between the evolving social and economic landscape and the traditional structures of organized </w:t>
      </w:r>
      <w:r w:rsidR="00093DD9">
        <w:rPr>
          <w:rFonts w:eastAsiaTheme="minorHAnsi"/>
          <w:lang w:val="en-GB" w:eastAsia="en-US"/>
        </w:rPr>
        <w:t>labour</w:t>
      </w:r>
      <w:r>
        <w:rPr>
          <w:rFonts w:eastAsiaTheme="minorHAnsi"/>
          <w:lang w:val="en-GB" w:eastAsia="en-US"/>
        </w:rPr>
        <w:t>.</w:t>
      </w:r>
      <w:r w:rsidR="003C131C">
        <w:rPr>
          <w:rFonts w:eastAsiaTheme="minorHAnsi"/>
          <w:lang w:val="en-GB" w:eastAsia="en-US"/>
        </w:rPr>
        <w:t xml:space="preserve"> </w:t>
      </w:r>
      <w:r>
        <w:rPr>
          <w:rFonts w:eastAsiaTheme="minorHAnsi"/>
          <w:lang w:val="en-GB" w:eastAsia="en-US"/>
        </w:rPr>
        <w:t xml:space="preserve">One prevailing argument posits that the modern individual is increasingly inclined </w:t>
      </w:r>
      <w:r>
        <w:rPr>
          <w:rFonts w:eastAsiaTheme="minorHAnsi"/>
          <w:lang w:val="en-GB" w:eastAsia="en-US"/>
        </w:rPr>
        <w:lastRenderedPageBreak/>
        <w:t>towards individualisation, potentially diminishing their inclination to join trade unions</w:t>
      </w:r>
      <w:proofErr w:type="gramStart"/>
      <w:r>
        <w:rPr>
          <w:rFonts w:eastAsiaTheme="minorHAnsi"/>
          <w:lang w:val="en-GB" w:eastAsia="en-US"/>
        </w:rPr>
        <w:t xml:space="preserve"> </w:t>
      </w:r>
      <w:r w:rsidR="003C131C" w:rsidRPr="003C131C">
        <w:rPr>
          <w:rFonts w:eastAsiaTheme="minorHAnsi"/>
          <w:noProof/>
          <w:lang w:val="en-GB" w:eastAsia="en-US"/>
        </w:rPr>
        <w:t xml:space="preserve"> </w:t>
      </w:r>
      <w:r w:rsidR="003C131C">
        <w:rPr>
          <w:rFonts w:eastAsiaTheme="minorHAnsi"/>
          <w:noProof/>
          <w:lang w:val="en-GB" w:eastAsia="en-US"/>
        </w:rPr>
        <w:t xml:space="preserve"> (</w:t>
      </w:r>
      <w:proofErr w:type="gramEnd"/>
      <w:r w:rsidR="003C131C">
        <w:rPr>
          <w:rFonts w:eastAsiaTheme="minorHAnsi"/>
          <w:noProof/>
          <w:lang w:val="en-GB" w:eastAsia="en-US"/>
        </w:rPr>
        <w:t>Jeremy Waddington 2005)</w:t>
      </w:r>
      <w:r>
        <w:rPr>
          <w:rFonts w:eastAsiaTheme="minorHAnsi"/>
          <w:lang w:val="en-GB" w:eastAsia="en-US"/>
        </w:rPr>
        <w:t xml:space="preserve">. </w:t>
      </w:r>
    </w:p>
    <w:p w14:paraId="5156C0BC" w14:textId="77777777" w:rsidR="006E133F" w:rsidRPr="006E133F" w:rsidRDefault="006E133F" w:rsidP="006E133F">
      <w:pPr>
        <w:rPr>
          <w:lang w:val="en-GB"/>
        </w:rPr>
      </w:pPr>
    </w:p>
    <w:p w14:paraId="6B8E75EF" w14:textId="77777777" w:rsidR="00F01821" w:rsidRDefault="00CF1D67" w:rsidP="00605CFF">
      <w:r>
        <w:rPr>
          <w:lang w:val="en-US"/>
        </w:rPr>
        <w:t>According to</w:t>
      </w:r>
      <w:r w:rsidR="00093DD9" w:rsidRPr="00093DD9">
        <w:t xml:space="preserve"> the literature, the primary drivers of the decline in union membership are typically categorized into two main groups: External pressures and Internal challenges. External pressures facing trade unions are complex, stemming from the broader context of globalization, heightened international competition, and deregulation. </w:t>
      </w:r>
      <w:r w:rsidR="003747DC" w:rsidRPr="003747DC">
        <w:t>Among the more direct contributors to declining membership is escalating unemployment. Traditionally, trade unions provide limited assistance to the unemployed, causing many members to abandon their memberships when they lose their jobs.</w:t>
      </w:r>
      <w:r w:rsidR="006E4C98">
        <w:rPr>
          <w:lang w:val="en-US"/>
        </w:rPr>
        <w:t xml:space="preserve"> </w:t>
      </w:r>
      <w:r w:rsidR="006E4C98" w:rsidRPr="006E4C98">
        <w:t>Additionally, shifting labor force dynamics, including the transition from industrial to service sector employment and the emergence of non-traditional work arrangements, present obstacles for union adaptation</w:t>
      </w:r>
      <w:r w:rsidR="00093DD9" w:rsidRPr="00093DD9">
        <w:t xml:space="preserve">. </w:t>
      </w:r>
    </w:p>
    <w:p w14:paraId="2DB26DCC" w14:textId="77777777" w:rsidR="00F01821" w:rsidRDefault="00F01821" w:rsidP="00605CFF"/>
    <w:p w14:paraId="3E8CBAAB" w14:textId="07C90B1C" w:rsidR="008A63BB" w:rsidRDefault="00695B12" w:rsidP="007E445B">
      <w:r w:rsidRPr="00695B12">
        <w:t>Key internal challenges for trade unions include rigidity and antiquity in organizational practices, a lack of diversity in leadership, inadequate representation, and a disconnection between leadership and membership. Many trade unions face criticism for their reluctance to modernize and adjust to contemporary necessities. The dominance of middle-aged men in leadership roles diminishes the appeal of unions to diverse demographics, and certain groups feel marginalized within union frameworks, hindering their involvement. Furthermore, union leaders are often perceived as disconnected from the current realities of workplaces. In essence, trade unions confront the dual challenge of diminishing resources and increasing membership diversity. Consequently, comprehensive reforms are imperative to ensure their relevance in an evolving labor landscape. This chapter endeavors to delve into these factors comprehensively, shedding light on the intricate dynamics driving the decline in union membership and proposing strategies to revitalize union effectiveness and relevance in the modern era.</w:t>
      </w:r>
    </w:p>
    <w:p w14:paraId="681D2D25" w14:textId="386B99CC" w:rsidR="008A594A" w:rsidRPr="008A594A" w:rsidRDefault="00D81165" w:rsidP="008A594A">
      <w:pPr>
        <w:rPr>
          <w:lang w:eastAsia="en-US"/>
        </w:rPr>
      </w:pPr>
      <w:r w:rsidRPr="00D81165">
        <w:rPr>
          <w:rFonts w:eastAsiaTheme="majorEastAsia" w:cstheme="majorBidi"/>
          <w:b/>
          <w:color w:val="000000" w:themeColor="text1"/>
          <w:kern w:val="2"/>
          <w:sz w:val="36"/>
          <w:szCs w:val="32"/>
          <w:lang w:eastAsia="en-US"/>
          <w14:ligatures w14:val="standardContextual"/>
        </w:rPr>
        <w:lastRenderedPageBreak/>
        <w:t>Labour Markets and Income Inequality</w:t>
      </w:r>
    </w:p>
    <w:p w14:paraId="2F3B1B49" w14:textId="62610AD9"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w:t>
      </w:r>
      <w:r w:rsidR="00164E9C">
        <w:rPr>
          <w:rStyle w:val="FootnoteReference"/>
        </w:rPr>
        <w:footnoteReference w:id="2"/>
      </w:r>
      <w:r w:rsidRPr="00FD747B">
        <w:t xml:space="preserve"> and World Bank Data, targeting an array of variables pivotal to understanding the dynamics of l</w:t>
      </w:r>
      <w:r w:rsidR="00082EAC" w:rsidRPr="00FD747B">
        <w:t>abour m</w:t>
      </w:r>
      <w:r w:rsidRPr="00FD747B">
        <w:t>arkets and income</w:t>
      </w:r>
      <w:r>
        <w:t xml:space="preserve"> distribution</w:t>
      </w:r>
      <w:r w:rsidR="00164E9C">
        <w:rPr>
          <w:rStyle w:val="FootnoteReference"/>
        </w:rPr>
        <w:footnoteReference w:id="3"/>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AD6201">
        <w:t>’</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39D71E6B" w14:textId="6A6A610C" w:rsidR="00E55231" w:rsidRDefault="00E55231" w:rsidP="00605CFF">
      <w:r w:rsidRPr="00E55231">
        <w:rPr>
          <w:b/>
          <w:bCs/>
        </w:rPr>
        <w:t>[/Users/jacopobinati/Desktop/thesis/Images/evolutionGini_Density.png</w:t>
      </w:r>
      <w:r>
        <w:t>]</w:t>
      </w:r>
    </w:p>
    <w:p w14:paraId="6B8D1768" w14:textId="64F1BAF8" w:rsidR="0004693C" w:rsidRDefault="00D378B6" w:rsidP="00605CFF">
      <w:r>
        <w:rPr>
          <w:noProof/>
          <w14:ligatures w14:val="standardContextual"/>
        </w:rPr>
        <w:lastRenderedPageBreak/>
        <w:drawing>
          <wp:inline distT="0" distB="0" distL="0" distR="0" wp14:anchorId="542B9CA5" wp14:editId="36D95C28">
            <wp:extent cx="5731510" cy="3439160"/>
            <wp:effectExtent l="0" t="0" r="0" b="0"/>
            <wp:docPr id="2005948043"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8043" name="Picture 1" descr="A graph of different types of graph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E6FE8A9" w14:textId="77777777" w:rsidR="00440632" w:rsidRDefault="00440632" w:rsidP="00605CFF"/>
    <w:p w14:paraId="275AF55F" w14:textId="0AF4C376"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w:t>
      </w:r>
      <w:r w:rsidR="00AD6201">
        <w:t>’</w:t>
      </w:r>
      <w:r w:rsidR="00F669CF" w:rsidRPr="00F669CF">
        <w:t xml:space="preserve">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w:t>
      </w:r>
      <w:r w:rsidR="00BF0EA6">
        <w:t xml:space="preserve">Iceland, </w:t>
      </w:r>
      <w:r w:rsidR="00C80E20">
        <w:t xml:space="preserve">and Sweden) and at the other side of the spectrum, another group with hardly any coverage (Estonia, Czechia, Lithuania, Poland, </w:t>
      </w:r>
      <w:r w:rsidR="00BF0EA6">
        <w:t>United Kingdom</w:t>
      </w:r>
      <w:r w:rsidR="00C80E20">
        <w:t xml:space="preserve">,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A1691">
        <w:t>,</w:t>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13BD7B3A" w14:textId="6A5627FD" w:rsidR="00E55231" w:rsidRPr="00F82282" w:rsidRDefault="00E55231" w:rsidP="00605CFF">
      <w:pPr>
        <w:rPr>
          <w:b/>
          <w:bCs/>
        </w:rPr>
      </w:pPr>
      <w:r w:rsidRPr="00F82282">
        <w:rPr>
          <w:b/>
          <w:bCs/>
        </w:rPr>
        <w:t>[/</w:t>
      </w:r>
      <w:r w:rsidR="00F82282" w:rsidRPr="00F82282">
        <w:rPr>
          <w:b/>
          <w:bCs/>
        </w:rPr>
        <w:t>Users/jacopobinati/Desktop/thesis/Images/kmeanclustering_densityCoveragewithCountries.png</w:t>
      </w:r>
      <w:r w:rsidRPr="00F82282">
        <w:rPr>
          <w:b/>
          <w:bCs/>
        </w:rPr>
        <w:t>]</w:t>
      </w:r>
    </w:p>
    <w:p w14:paraId="2A0643C9" w14:textId="488B6FD3" w:rsidR="00440632" w:rsidRDefault="00511AE3" w:rsidP="00605CFF">
      <w:r>
        <w:rPr>
          <w:noProof/>
          <w14:ligatures w14:val="standardContextual"/>
        </w:rPr>
        <w:lastRenderedPageBreak/>
        <w:drawing>
          <wp:inline distT="0" distB="0" distL="0" distR="0" wp14:anchorId="284DC0A1" wp14:editId="1A89FB39">
            <wp:extent cx="5731510" cy="3439160"/>
            <wp:effectExtent l="0" t="0" r="0" b="0"/>
            <wp:docPr id="1633180658" name="Picture 3" descr="A graph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0658" name="Picture 3" descr="A graph with numbers and nam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F8E743B" w14:textId="680BB85D" w:rsidR="00440632" w:rsidRDefault="00440632" w:rsidP="00815CFD">
      <w:pPr>
        <w:jc w:val="center"/>
      </w:pP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37424F06" w14:textId="7181F809" w:rsidR="00732E7A" w:rsidRDefault="00C80E20" w:rsidP="00732E7A">
      <w:r>
        <w:t xml:space="preserve">Union density varies widely across </w:t>
      </w:r>
      <w:r w:rsidR="003D7517">
        <w:t>Europe</w:t>
      </w:r>
      <w:r>
        <w:t xml:space="preserve">, with Scandinavian countries maintaining high levels compared to the lower rates in Central and Eastern Europe, and a general declining trend </w:t>
      </w:r>
      <w:r>
        <w:lastRenderedPageBreak/>
        <w:t>observed across Continental and Mediterranean countries. Differences in union density are also 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Notably, the Ghent system, which links unemployment benefits administration with trade unions or labor organizations, is more prevalent in Coordinated Market Economies (CMEs) where collective bargaining and collaboration between employers, employees, and the state are more pronounced, contrasting with Liberal Market Economies (LMEs) where such systems are less prevalent due to a greater reliance on market mechanisms and individual responsibility for social welfare provision.</w:t>
      </w:r>
    </w:p>
    <w:p w14:paraId="2D50ED35" w14:textId="06F0898D" w:rsidR="00D36B48" w:rsidRDefault="00D36B48" w:rsidP="00D36B48">
      <w:pPr>
        <w:pStyle w:val="Heading2"/>
      </w:pPr>
      <w:r>
        <w:t xml:space="preserve">The non linear relationship between Density and </w:t>
      </w:r>
      <w:r w:rsidR="00DF0103">
        <w:t>Gini Index</w:t>
      </w:r>
    </w:p>
    <w:p w14:paraId="6E52AD15" w14:textId="77777777" w:rsidR="00732E7A" w:rsidRPr="00732E7A" w:rsidRDefault="00732E7A" w:rsidP="00732E7A">
      <w:pPr>
        <w:rPr>
          <w:lang w:eastAsia="en-US"/>
        </w:rPr>
      </w:pPr>
    </w:p>
    <w:p w14:paraId="181A707A" w14:textId="1F2A9067" w:rsidR="00732E7A" w:rsidRDefault="00732E7A" w:rsidP="00732E7A">
      <w:pPr>
        <w:rPr>
          <w:rFonts w:eastAsiaTheme="minorHAnsi"/>
          <w:lang w:val="en-GB" w:eastAsia="en-US"/>
        </w:rPr>
      </w:pPr>
      <w:r>
        <w:rPr>
          <w:rFonts w:eastAsiaTheme="minorHAnsi"/>
          <w:lang w:val="en-GB" w:eastAsia="en-US"/>
        </w:rPr>
        <w:t>The results from the analysis underscore the necessity of considering non-linear interactions when evaluating the impact of Trade Unions Density on the Gini Index. Initially, the linear model suggested a straightforward positive relationship between union density and income inequality, with a significant coefficient (Estimate = 0.0</w:t>
      </w:r>
      <w:r w:rsidR="00E25C2A">
        <w:rPr>
          <w:rFonts w:eastAsiaTheme="minorHAnsi"/>
          <w:lang w:val="en-GB" w:eastAsia="en-US"/>
        </w:rPr>
        <w:t>345</w:t>
      </w:r>
      <w:r>
        <w:rPr>
          <w:rFonts w:eastAsiaTheme="minorHAnsi"/>
          <w:lang w:val="en-GB" w:eastAsia="en-US"/>
        </w:rPr>
        <w:t>, p &lt; 0.001). However, this model's explanatory power was limited, as indicated by an R-squared value of only 0.0</w:t>
      </w:r>
      <w:r w:rsidR="00D378B6">
        <w:rPr>
          <w:rFonts w:eastAsiaTheme="minorHAnsi"/>
          <w:lang w:val="en-GB" w:eastAsia="en-US"/>
        </w:rPr>
        <w:t>23</w:t>
      </w:r>
      <w:r>
        <w:rPr>
          <w:rFonts w:eastAsiaTheme="minorHAnsi"/>
          <w:lang w:val="en-GB" w:eastAsia="en-US"/>
        </w:rPr>
        <w:t>.</w:t>
      </w:r>
    </w:p>
    <w:p w14:paraId="4959C665" w14:textId="11E0F8F9" w:rsidR="00732E7A" w:rsidRDefault="00732E7A" w:rsidP="00732E7A">
      <w:pPr>
        <w:rPr>
          <w:rFonts w:eastAsiaTheme="minorHAnsi"/>
          <w:lang w:val="en-GB" w:eastAsia="en-US"/>
        </w:rPr>
      </w:pPr>
      <w:r>
        <w:rPr>
          <w:rFonts w:eastAsiaTheme="minorHAnsi"/>
          <w:lang w:val="en-GB" w:eastAsia="en-US"/>
        </w:rPr>
        <w:t>When a quadratic term for Trade Unions Density was introduced in the non-linear model, a more nuanced relationship emerged. The non-linear model revealed a significant positive coefficient for the linear term (Estimate = 0.</w:t>
      </w:r>
      <w:r w:rsidR="00D378B6">
        <w:rPr>
          <w:rFonts w:eastAsiaTheme="minorHAnsi"/>
          <w:lang w:val="en-GB" w:eastAsia="en-US"/>
        </w:rPr>
        <w:t>2574</w:t>
      </w:r>
      <w:r>
        <w:rPr>
          <w:rFonts w:eastAsiaTheme="minorHAnsi"/>
          <w:lang w:val="en-GB" w:eastAsia="en-US"/>
        </w:rPr>
        <w:t>, p &lt; 0.001) and a significant negative coefficient for the quadratic term (Estimate = -0.</w:t>
      </w:r>
      <w:r w:rsidR="00D378B6">
        <w:rPr>
          <w:rFonts w:eastAsiaTheme="minorHAnsi"/>
          <w:lang w:val="en-GB" w:eastAsia="en-US"/>
        </w:rPr>
        <w:t>2425</w:t>
      </w:r>
      <w:r>
        <w:rPr>
          <w:rFonts w:eastAsiaTheme="minorHAnsi"/>
          <w:lang w:val="en-GB" w:eastAsia="en-US"/>
        </w:rPr>
        <w:t>, p &lt; 0.001). This indicates that the effect of union density on income inequality diminishes at higher levels of union density, suggesting a curvilinear relationship. The non-linear model also demonstrated a much higher R-squared value of 0.17</w:t>
      </w:r>
      <w:r w:rsidR="00D378B6">
        <w:rPr>
          <w:rFonts w:eastAsiaTheme="minorHAnsi"/>
          <w:lang w:val="en-GB" w:eastAsia="en-US"/>
        </w:rPr>
        <w:t>3</w:t>
      </w:r>
      <w:r>
        <w:rPr>
          <w:rFonts w:eastAsiaTheme="minorHAnsi"/>
          <w:lang w:val="en-GB" w:eastAsia="en-US"/>
        </w:rPr>
        <w:t>, indicating a better fit to the data.</w:t>
      </w:r>
    </w:p>
    <w:p w14:paraId="141CF4E0" w14:textId="6CE2C1CF" w:rsidR="00732E7A" w:rsidRDefault="00D378B6" w:rsidP="00D378B6">
      <w:pPr>
        <w:jc w:val="center"/>
        <w:rPr>
          <w:rFonts w:eastAsiaTheme="minorHAnsi"/>
          <w:lang w:val="en-GB" w:eastAsia="en-US"/>
        </w:rPr>
      </w:pPr>
      <w:r>
        <w:rPr>
          <w:rFonts w:eastAsiaTheme="minorHAnsi"/>
          <w:noProof/>
          <w:lang w:val="en-GB" w:eastAsia="en-US"/>
          <w14:ligatures w14:val="standardContextual"/>
        </w:rPr>
        <w:lastRenderedPageBreak/>
        <w:drawing>
          <wp:inline distT="0" distB="0" distL="0" distR="0" wp14:anchorId="52322459" wp14:editId="576AD6EB">
            <wp:extent cx="3979147" cy="2649791"/>
            <wp:effectExtent l="0" t="0" r="0" b="5080"/>
            <wp:docPr id="1020856085" name="Picture 8" descr="A paper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6085" name="Picture 8" descr="A paper with numbers an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7006" cy="2655024"/>
                    </a:xfrm>
                    <a:prstGeom prst="rect">
                      <a:avLst/>
                    </a:prstGeom>
                  </pic:spPr>
                </pic:pic>
              </a:graphicData>
            </a:graphic>
          </wp:inline>
        </w:drawing>
      </w:r>
    </w:p>
    <w:p w14:paraId="6686ED10" w14:textId="47509577" w:rsidR="00732E7A" w:rsidRDefault="00732E7A"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/Users/jacopobinati/Desktop/thesis/results/linear_nonlinear_uniongini.tex</w:t>
      </w:r>
      <w:r>
        <w:rPr>
          <w:rFonts w:eastAsiaTheme="minorHAnsi"/>
          <w:lang w:val="en-GB" w:eastAsia="en-US"/>
        </w:rPr>
        <w:t>]</w:t>
      </w:r>
    </w:p>
    <w:p w14:paraId="2673A7FE" w14:textId="77777777" w:rsidR="00732E7A" w:rsidRDefault="00732E7A" w:rsidP="00732E7A">
      <w:pPr>
        <w:rPr>
          <w:rFonts w:eastAsiaTheme="minorHAnsi"/>
          <w:lang w:val="en-GB" w:eastAsia="en-US"/>
        </w:rPr>
      </w:pPr>
    </w:p>
    <w:p w14:paraId="535614F6" w14:textId="18146679" w:rsidR="00AD6201" w:rsidRDefault="00732E7A" w:rsidP="00D378B6">
      <w:pPr>
        <w:rPr>
          <w:rFonts w:eastAsiaTheme="minorHAnsi"/>
          <w:lang w:val="en-GB" w:eastAsia="en-US"/>
        </w:rPr>
      </w:pPr>
      <w:r>
        <w:rPr>
          <w:rFonts w:eastAsiaTheme="minorHAnsi"/>
          <w:lang w:val="en-GB" w:eastAsia="en-US"/>
        </w:rPr>
        <w:t xml:space="preserve">Furthermore, the Akaike Information Criterion (AIC) and the Bayesian Information Criterion (BIC) provided additional support for the non-linear model. The linear model had </w:t>
      </w:r>
      <w:r w:rsidRPr="00D378B6">
        <w:rPr>
          <w:rFonts w:eastAsiaTheme="minorHAnsi"/>
        </w:rPr>
        <w:t xml:space="preserve">an </w:t>
      </w:r>
      <w:r w:rsidR="00D378B6">
        <w:rPr>
          <w:rFonts w:eastAsiaTheme="minorHAnsi"/>
        </w:rPr>
        <w:t xml:space="preserve">AIC </w:t>
      </w:r>
      <w:r w:rsidR="00D378B6" w:rsidRPr="00D378B6">
        <w:t>of -5945 and a BIC of -5940</w:t>
      </w:r>
      <w:r w:rsidRPr="00D378B6">
        <w:rPr>
          <w:rFonts w:eastAsiaTheme="minorHAnsi"/>
        </w:rPr>
        <w:t>.</w:t>
      </w:r>
      <w:r>
        <w:rPr>
          <w:rFonts w:eastAsiaTheme="minorHAnsi"/>
          <w:lang w:val="en-GB" w:eastAsia="en-US"/>
        </w:rPr>
        <w:t xml:space="preserve"> In contrast, the non-linear model had significantly lower AIC and BIC </w:t>
      </w:r>
      <w:r w:rsidRPr="00D378B6">
        <w:rPr>
          <w:rFonts w:eastAsiaTheme="minorHAnsi"/>
        </w:rPr>
        <w:t xml:space="preserve">values </w:t>
      </w:r>
      <w:r w:rsidR="00D378B6" w:rsidRPr="00D378B6">
        <w:t>-6063 and -6054,</w:t>
      </w:r>
      <w:r w:rsidR="00D378B6">
        <w:rPr>
          <w:rFonts w:ascii="Segoe UI" w:hAnsi="Segoe UI" w:cs="Segoe UI"/>
          <w:color w:val="0D0D0D"/>
          <w:shd w:val="clear" w:color="auto" w:fill="FFFFFF"/>
        </w:rPr>
        <w:t xml:space="preserve"> </w:t>
      </w:r>
      <w:r>
        <w:rPr>
          <w:rFonts w:eastAsiaTheme="minorHAnsi"/>
          <w:lang w:val="en-GB" w:eastAsia="en-US"/>
        </w:rPr>
        <w:t>respectively. Lower AIC and BIC values imply a better model fit while accounting for model complexity. The substantial reduction in both AIC and BIC in the non-linear model compared to the linear model indicates that the non-linear model provides a more accurate representation of the data, despite its increased complexity. This improvement reflects that the non-linear model captures the underlying dynamics of how Trade Unions Density affects the Gini Index more effectively than the linear model.</w:t>
      </w:r>
    </w:p>
    <w:p w14:paraId="181FBD99" w14:textId="77777777" w:rsidR="0099522B" w:rsidRDefault="0099522B" w:rsidP="00D378B6">
      <w:pPr>
        <w:rPr>
          <w:rFonts w:eastAsiaTheme="minorHAnsi"/>
          <w:lang w:val="en-GB" w:eastAsia="en-US"/>
        </w:rPr>
      </w:pPr>
    </w:p>
    <w:p w14:paraId="24368343" w14:textId="6176DFBC" w:rsidR="005936B7" w:rsidRDefault="0099522B" w:rsidP="00732E7A">
      <w:pPr>
        <w:rPr>
          <w:rFonts w:eastAsiaTheme="minorHAnsi"/>
          <w:lang w:val="en-GB" w:eastAsia="en-US"/>
        </w:rPr>
      </w:pPr>
      <w:r>
        <w:rPr>
          <w:rFonts w:eastAsiaTheme="minorHAnsi"/>
          <w:noProof/>
          <w:lang w:val="en-GB" w:eastAsia="en-US"/>
          <w14:ligatures w14:val="standardContextual"/>
        </w:rPr>
        <w:drawing>
          <wp:inline distT="0" distB="0" distL="0" distR="0" wp14:anchorId="287217D3" wp14:editId="3622A2ED">
            <wp:extent cx="4152900" cy="469900"/>
            <wp:effectExtent l="0" t="0" r="0" b="0"/>
            <wp:docPr id="1091145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45382" name="Picture 1091145382"/>
                    <pic:cNvPicPr/>
                  </pic:nvPicPr>
                  <pic:blipFill>
                    <a:blip r:embed="rId11">
                      <a:extLst>
                        <a:ext uri="{28A0092B-C50C-407E-A947-70E740481C1C}">
                          <a14:useLocalDpi xmlns:a14="http://schemas.microsoft.com/office/drawing/2010/main" val="0"/>
                        </a:ext>
                      </a:extLst>
                    </a:blip>
                    <a:stretch>
                      <a:fillRect/>
                    </a:stretch>
                  </pic:blipFill>
                  <pic:spPr>
                    <a:xfrm>
                      <a:off x="0" y="0"/>
                      <a:ext cx="4152900" cy="469900"/>
                    </a:xfrm>
                    <a:prstGeom prst="rect">
                      <a:avLst/>
                    </a:prstGeom>
                  </pic:spPr>
                </pic:pic>
              </a:graphicData>
            </a:graphic>
          </wp:inline>
        </w:drawing>
      </w:r>
    </w:p>
    <w:p w14:paraId="3F2B6EA3" w14:textId="2CC12337" w:rsidR="005936B7" w:rsidRDefault="005936B7"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w:t>
      </w:r>
      <w:proofErr w:type="spellStart"/>
      <w:r w:rsidR="00E55231" w:rsidRPr="00E55231">
        <w:rPr>
          <w:rFonts w:eastAsiaTheme="minorHAnsi"/>
          <w:lang w:val="en-GB" w:eastAsia="en-US"/>
        </w:rPr>
        <w:t>jacopobinati</w:t>
      </w:r>
      <w:proofErr w:type="spellEnd"/>
      <w:r w:rsidR="00E55231" w:rsidRPr="00E55231">
        <w:rPr>
          <w:rFonts w:eastAsiaTheme="minorHAnsi"/>
          <w:lang w:val="en-GB" w:eastAsia="en-US"/>
        </w:rPr>
        <w:t>/Desktop/thesis/results/</w:t>
      </w:r>
      <w:proofErr w:type="spellStart"/>
      <w:r w:rsidR="00E55231" w:rsidRPr="00E55231">
        <w:rPr>
          <w:rFonts w:eastAsiaTheme="minorHAnsi"/>
          <w:lang w:val="en-GB" w:eastAsia="en-US"/>
        </w:rPr>
        <w:t>aic_bic_results.tex</w:t>
      </w:r>
      <w:proofErr w:type="spellEnd"/>
      <w:r>
        <w:rPr>
          <w:rFonts w:eastAsiaTheme="minorHAnsi"/>
          <w:lang w:val="en-GB" w:eastAsia="en-US"/>
        </w:rPr>
        <w:t>]</w:t>
      </w:r>
    </w:p>
    <w:p w14:paraId="25747AF0" w14:textId="77777777" w:rsidR="0099522B" w:rsidRDefault="0099522B" w:rsidP="00732E7A">
      <w:pPr>
        <w:rPr>
          <w:rFonts w:eastAsiaTheme="minorHAnsi"/>
          <w:lang w:val="en-GB" w:eastAsia="en-US"/>
        </w:rPr>
      </w:pPr>
    </w:p>
    <w:p w14:paraId="3CEBA2D1" w14:textId="70853D6F" w:rsidR="005936B7" w:rsidRDefault="00D378B6" w:rsidP="00D378B6">
      <w:pPr>
        <w:rPr>
          <w:shd w:val="clear" w:color="auto" w:fill="FFFFFF"/>
        </w:rPr>
      </w:pPr>
      <w:r>
        <w:rPr>
          <w:shd w:val="clear" w:color="auto" w:fill="FFFFFF"/>
        </w:rPr>
        <w:lastRenderedPageBreak/>
        <w:t>The overall analysis suggests that the non-linear model provides a more accurate representation of the relationship between Trade Unions Density and the Gini Index compared to the linear model. This underscores the importance of considering non-linear dynamics to fully capture the impact of union density on income inequality.</w:t>
      </w:r>
    </w:p>
    <w:p w14:paraId="135A9A05" w14:textId="77777777" w:rsidR="00D378B6" w:rsidRDefault="00D378B6" w:rsidP="00D378B6">
      <w:pPr>
        <w:rPr>
          <w:rFonts w:eastAsiaTheme="minorHAnsi"/>
          <w:lang w:val="en-GB" w:eastAsia="en-US"/>
        </w:rPr>
      </w:pPr>
    </w:p>
    <w:p w14:paraId="45A350CB" w14:textId="77777777" w:rsidR="00732E7A" w:rsidRDefault="00732E7A" w:rsidP="00732E7A">
      <w:pPr>
        <w:rPr>
          <w:rFonts w:eastAsiaTheme="minorHAnsi"/>
          <w:lang w:val="en-GB" w:eastAsia="en-US"/>
        </w:rPr>
      </w:pPr>
      <w:r>
        <w:rPr>
          <w:rFonts w:eastAsiaTheme="minorHAnsi"/>
          <w:lang w:val="en-GB" w:eastAsia="en-US"/>
        </w:rPr>
        <w:t>Additionally, Quantile-Quantile (QQ) plots were employed to assess whether the residuals of the models followed a normal distribution. The QQ plot for the linear model indicated some deviations from normality, particularly at the tails, suggesting that the model's residuals were not perfectly normally distributed. This deviation implies potential issues with the linear model's ability to capture all underlying patterns in the data. Conversely, the QQ plot for the non-linear model showed a better alignment of the residuals with the theoretical quantiles of a normal distribution. This alignment indicates that the non-linear model provides a more accurate representation of the data structure, resulting in residuals that are closer to normally distributed.</w:t>
      </w:r>
    </w:p>
    <w:p w14:paraId="0E28A5CA" w14:textId="3C08BD42" w:rsidR="00732E7A" w:rsidRDefault="00732E7A" w:rsidP="00732E7A">
      <w:pPr>
        <w:rPr>
          <w:rFonts w:eastAsiaTheme="minorHAnsi"/>
          <w:lang w:val="en-GB" w:eastAsia="en-US"/>
        </w:rPr>
      </w:pPr>
      <w:r>
        <w:rPr>
          <w:rFonts w:eastAsiaTheme="minorHAnsi"/>
          <w:lang w:val="en-GB" w:eastAsia="en-US"/>
        </w:rPr>
        <w:t xml:space="preserve">The need to modulate Density in a non-linear way becomes evident from these results. A linear approach oversimplifies the complex interactions and fails to account for the diminishing returns of union density on reducing income inequality. By adopting a non-linear model, we achieve a more accurate and comprehensive understanding of how collective bargaining influences economic disparities. This approach not only improves model fit but also provides more reliable insights for policymakers aiming to address income inequality through </w:t>
      </w:r>
      <w:r w:rsidR="002D75E6">
        <w:rPr>
          <w:rFonts w:eastAsiaTheme="minorHAnsi"/>
          <w:lang w:val="en-GB" w:eastAsia="en-US"/>
        </w:rPr>
        <w:t>labour</w:t>
      </w:r>
      <w:r>
        <w:rPr>
          <w:rFonts w:eastAsiaTheme="minorHAnsi"/>
          <w:lang w:val="en-GB" w:eastAsia="en-US"/>
        </w:rPr>
        <w:t xml:space="preserve"> union strategies.</w:t>
      </w:r>
    </w:p>
    <w:p w14:paraId="47337DE4" w14:textId="77777777" w:rsidR="002D75E6" w:rsidRDefault="002D75E6" w:rsidP="00732E7A">
      <w:pPr>
        <w:rPr>
          <w:rFonts w:eastAsiaTheme="minorHAnsi"/>
          <w:lang w:val="en-GB" w:eastAsia="en-US"/>
        </w:rPr>
      </w:pPr>
    </w:p>
    <w:p w14:paraId="395C63E0" w14:textId="6CBF87A3" w:rsidR="00B7276B" w:rsidRDefault="002D75E6" w:rsidP="00605CFF">
      <w:pPr>
        <w:rPr>
          <w:rFonts w:eastAsiaTheme="minorHAnsi"/>
          <w:b/>
          <w:bCs/>
          <w:lang w:val="en-GB" w:eastAsia="en-US"/>
        </w:rPr>
      </w:pPr>
      <w:r w:rsidRPr="002D75E6">
        <w:rPr>
          <w:rFonts w:eastAsiaTheme="minorHAnsi"/>
          <w:b/>
          <w:bCs/>
          <w:lang w:val="en-GB" w:eastAsia="en-US"/>
        </w:rPr>
        <w:t>[/Users/jacopobinati/Desktop/thesis/Images/residuals_qq_combined_plot.png]</w:t>
      </w:r>
    </w:p>
    <w:p w14:paraId="3656F9C3" w14:textId="5EAFF617" w:rsidR="00D378B6" w:rsidRDefault="00D378B6" w:rsidP="00605CFF">
      <w:pPr>
        <w:rPr>
          <w:b/>
          <w:bCs/>
        </w:rPr>
      </w:pPr>
      <w:r>
        <w:rPr>
          <w:b/>
          <w:bCs/>
          <w:noProof/>
          <w14:ligatures w14:val="standardContextual"/>
        </w:rPr>
        <w:lastRenderedPageBreak/>
        <w:drawing>
          <wp:inline distT="0" distB="0" distL="0" distR="0" wp14:anchorId="1F80AFBE" wp14:editId="62EC59B3">
            <wp:extent cx="5731510" cy="3820795"/>
            <wp:effectExtent l="0" t="0" r="0" b="1905"/>
            <wp:docPr id="340800126" name="Picture 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0126" name="Picture 4" descr="A collage of graph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64EA573" w14:textId="77777777" w:rsidR="002D75E6" w:rsidRPr="002D75E6" w:rsidRDefault="002D75E6" w:rsidP="00605CFF">
      <w:pPr>
        <w:rPr>
          <w:b/>
          <w:bCs/>
        </w:rPr>
      </w:pPr>
    </w:p>
    <w:p w14:paraId="73B55025" w14:textId="221575D2" w:rsidR="00FA1691" w:rsidRDefault="00FA1691" w:rsidP="006346DA">
      <w:pPr>
        <w:pStyle w:val="Heading1"/>
      </w:pPr>
      <w:r w:rsidRPr="00DF0103">
        <w:t>Model Selection</w:t>
      </w:r>
    </w:p>
    <w:p w14:paraId="0DD0A17E" w14:textId="77777777" w:rsidR="00FA1691" w:rsidRDefault="00FA1691" w:rsidP="00FA1691">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17D0109B" w14:textId="77777777" w:rsidR="00FA1691" w:rsidRDefault="00FA1691" w:rsidP="00FA1691"/>
    <w:p w14:paraId="2419B5C5" w14:textId="77777777" w:rsidR="00FA1691" w:rsidRPr="0058284B" w:rsidRDefault="00FA1691" w:rsidP="00FA1691">
      <w:pPr>
        <w:rPr>
          <w:lang w:val="it-IT"/>
        </w:rPr>
      </w:pPr>
      <m:oMathPara>
        <m:oMath>
          <m:r>
            <w:rPr>
              <w:rFonts w:ascii="Cambria Math" w:hAnsi="Cambria Math"/>
              <w:lang w:val="en-GB"/>
            </w:rPr>
            <w:lastRenderedPageBreak/>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density2</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095F0788" w14:textId="77777777" w:rsidR="00FA1691" w:rsidRPr="0058284B" w:rsidRDefault="00FA1691" w:rsidP="00FA1691">
      <w:pPr>
        <w:rPr>
          <w:lang w:val="it-IT"/>
        </w:rPr>
      </w:pPr>
    </w:p>
    <w:p w14:paraId="1DB0B264" w14:textId="77777777" w:rsidR="00FA1691" w:rsidRDefault="00FA1691" w:rsidP="00FA1691">
      <w:r w:rsidRPr="0058284B">
        <w:t>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1EB872D5" w14:textId="77777777" w:rsidR="00FA1691" w:rsidRDefault="00FA1691" w:rsidP="00FA1691"/>
    <w:p w14:paraId="251A1A51" w14:textId="77777777" w:rsidR="00FA1691" w:rsidRDefault="00FA1691" w:rsidP="00FA1691">
      <w:r>
        <w:t xml:space="preserve">Before proceding with the creation of the models, one main factor had to be taken in consideration: multicollinearity. This situation creates when the X’ X matrix is near singular, when the columns of X are close to linearly dependent. One potential complication, that might arise, of near singularity of matrices is that the numerical realibility of calculation may be reduced. </w:t>
      </w:r>
    </w:p>
    <w:p w14:paraId="75704D18" w14:textId="77777777" w:rsidR="00FA1691" w:rsidRPr="00BF410D" w:rsidRDefault="00000000" w:rsidP="00FA1691">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704A9058" w14:textId="77777777" w:rsidR="00FA1691" w:rsidRDefault="00FA1691" w:rsidP="00FA1691"/>
    <w:p w14:paraId="77907F45" w14:textId="77777777" w:rsidR="00FA1691" w:rsidRDefault="00FA1691" w:rsidP="00FA1691">
      <w:r>
        <w:lastRenderedPageBreak/>
        <w:t xml:space="preserve">And </w:t>
      </w:r>
    </w:p>
    <w:p w14:paraId="7D6F6B48" w14:textId="77777777" w:rsidR="00FA1691" w:rsidRPr="00815CFD" w:rsidRDefault="00FA1691" w:rsidP="00FA1691">
      <w:pPr>
        <w:rPr>
          <w:iCs/>
        </w:rPr>
      </w:pPr>
    </w:p>
    <w:p w14:paraId="367394AE" w14:textId="77777777" w:rsidR="00FA1691" w:rsidRPr="00BF410D" w:rsidRDefault="00FA1691" w:rsidP="00FA1691">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0B1BA3DE" w14:textId="77777777" w:rsidR="00FA1691" w:rsidRDefault="00FA1691" w:rsidP="00FA1691"/>
    <w:p w14:paraId="3E6A2828" w14:textId="77777777" w:rsidR="00FA1691" w:rsidRDefault="00FA1691" w:rsidP="00FA1691">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09935C54" w14:textId="77777777" w:rsidR="00FA1691" w:rsidRDefault="00FA1691" w:rsidP="00FA1691">
      <w:r>
        <w:t>For this reason two specific tests have been addressed: in primis, the Eigenvalue test and, following the VIF test in order to double check for any other issues.</w:t>
      </w:r>
      <w:r>
        <w:rPr>
          <w:lang w:val="en-US"/>
        </w:rPr>
        <w:t xml:space="preserve"> </w:t>
      </w:r>
      <w:r>
        <w:t xml:space="preserve">This might be the case since the number of regressor is large. Another issue that arises with multicollinearity is that individual coefficient esitimates may be imprecise. </w:t>
      </w:r>
    </w:p>
    <w:p w14:paraId="7549B52A" w14:textId="77777777" w:rsidR="00FA1691" w:rsidRPr="007D2424" w:rsidRDefault="00FA1691" w:rsidP="00FA1691">
      <w:pPr>
        <w:rPr>
          <w:lang w:val="en-US"/>
        </w:rPr>
      </w:pPr>
    </w:p>
    <w:p w14:paraId="27B8045F" w14:textId="77777777" w:rsidR="00FA1691" w:rsidRDefault="00FA1691" w:rsidP="00FA1691">
      <w:r>
        <w:rPr>
          <w:lang w:val="en-US"/>
        </w:rPr>
        <w:t>Nevertheless, t</w:t>
      </w:r>
      <w:r>
        <w:t xml:space="preserve">he results showed that there is no trace of multicollinearity since all the values of the VIF are below the threshold (5). </w:t>
      </w:r>
    </w:p>
    <w:p w14:paraId="598C6A94" w14:textId="77777777" w:rsidR="00FA1691" w:rsidRDefault="00FA1691" w:rsidP="00FA1691"/>
    <w:p w14:paraId="7AE1A733" w14:textId="77777777" w:rsidR="00FA1691" w:rsidRDefault="00FA1691" w:rsidP="00FA1691">
      <w:pPr>
        <w:jc w:val="center"/>
      </w:pPr>
      <w:r>
        <w:t>[</w:t>
      </w:r>
      <w:r w:rsidRPr="00E55231">
        <w:t>/Users/jacopobinati/Desktop/thesis/results/VIF_Eigenvalue.txt</w:t>
      </w:r>
      <w:r>
        <w:t>]</w:t>
      </w:r>
    </w:p>
    <w:p w14:paraId="3DD83DE6" w14:textId="77777777" w:rsidR="00FA1691" w:rsidRDefault="00FA1691" w:rsidP="00FA1691">
      <w:pPr>
        <w:jc w:val="center"/>
      </w:pPr>
      <w:r>
        <w:rPr>
          <w:noProof/>
          <w14:ligatures w14:val="standardContextual"/>
        </w:rPr>
        <w:drawing>
          <wp:inline distT="0" distB="0" distL="0" distR="0" wp14:anchorId="489CA048" wp14:editId="3BBDC5DE">
            <wp:extent cx="4200211" cy="2118941"/>
            <wp:effectExtent l="0" t="0" r="3810" b="2540"/>
            <wp:docPr id="14002028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02878"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0741" cy="2124253"/>
                    </a:xfrm>
                    <a:prstGeom prst="rect">
                      <a:avLst/>
                    </a:prstGeom>
                  </pic:spPr>
                </pic:pic>
              </a:graphicData>
            </a:graphic>
          </wp:inline>
        </w:drawing>
      </w:r>
    </w:p>
    <w:p w14:paraId="2BCB6976" w14:textId="77777777" w:rsidR="00FA1691" w:rsidRDefault="00FA1691" w:rsidP="00FA1691"/>
    <w:p w14:paraId="3599A398" w14:textId="77777777" w:rsidR="00FA1691" w:rsidRDefault="00FA1691" w:rsidP="00FA1691">
      <w:r>
        <w:t>The</w:t>
      </w:r>
      <w:r w:rsidRPr="000C2B02">
        <w:t xml:space="preserve"> evaluation of multicollinearity is pivotal in ensuring the integrity and reliability of the regression model. Thus, the thorough assessment of multicollinearity underscores its significance in robust statistical modeling.</w:t>
      </w:r>
    </w:p>
    <w:p w14:paraId="6225BBE2" w14:textId="77777777" w:rsidR="00FA1691" w:rsidRDefault="00FA1691" w:rsidP="00FA1691"/>
    <w:p w14:paraId="5CA5B9BF" w14:textId="77777777" w:rsidR="00FA1691" w:rsidRDefault="00FA1691" w:rsidP="00FA1691">
      <w:pPr>
        <w:pStyle w:val="Heading2"/>
      </w:pPr>
      <w:r>
        <w:rPr>
          <w:lang w:val="en-US"/>
        </w:rPr>
        <w:t xml:space="preserve">Instrument Variable and </w:t>
      </w:r>
      <w:r>
        <w:t>Endogeneity</w:t>
      </w:r>
    </w:p>
    <w:p w14:paraId="5CD3BCC3" w14:textId="77777777" w:rsidR="00FA1691" w:rsidRDefault="00FA1691" w:rsidP="00FA1691"/>
    <w:p w14:paraId="304B6934" w14:textId="3723185C" w:rsidR="00FA1691" w:rsidRDefault="00FA1691" w:rsidP="00FA1691">
      <w:r>
        <w:t>A second major issue which can raise is endogeneity. It can be identified, in the linear model, when</w:t>
      </w:r>
    </w:p>
    <w:p w14:paraId="6E6217A2" w14:textId="0558B4F7" w:rsidR="00FA1691" w:rsidRPr="007B749B" w:rsidRDefault="00FA1691" w:rsidP="00FA1691">
      <m:oMathPara>
        <m:oMath>
          <m:r>
            <w:rPr>
              <w:rFonts w:ascii="Cambria Math" w:hAnsi="Cambria Math"/>
            </w:rPr>
            <m:t>Gini</m:t>
          </m:r>
          <m:r>
            <m:rPr>
              <m:sty m:val="p"/>
            </m:rPr>
            <w:rPr>
              <w:rFonts w:ascii="Cambria Math" w:hAnsi="Cambria Math"/>
            </w:rPr>
            <m:t xml:space="preserve"> </m:t>
          </m:r>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density2</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44318C8D" w14:textId="586A56D7" w:rsidR="00FA1691" w:rsidRDefault="00FA1691" w:rsidP="00FA1691">
      <w:r>
        <w:t xml:space="preserve">If with </w:t>
      </w:r>
      <m:oMath>
        <m:r>
          <w:rPr>
            <w:rFonts w:ascii="Cambria Math" w:hAnsi="Cambria Math"/>
          </w:rPr>
          <m:t>β</m:t>
        </m:r>
      </m:oMath>
      <w:r>
        <w:t xml:space="preserve">, </w:t>
      </w:r>
      <m:oMath>
        <m:r>
          <m:rPr>
            <m:scr m:val="double-struck"/>
          </m:rPr>
          <w:rPr>
            <w:rFonts w:ascii="Cambria Math" w:hAnsi="Cambria Math"/>
          </w:rPr>
          <m:t xml:space="preserve">E </m:t>
        </m:r>
        <m:d>
          <m:dPr>
            <m:ctrlPr>
              <w:rPr>
                <w:rFonts w:ascii="Cambria Math" w:hAnsi="Cambria Math"/>
                <w:i/>
              </w:rPr>
            </m:ctrlPr>
          </m:dPr>
          <m:e>
            <m:sSub>
              <m:sSubPr>
                <m:ctrlPr>
                  <w:rPr>
                    <w:rFonts w:ascii="Cambria Math" w:hAnsi="Cambria Math"/>
                    <w:i/>
                  </w:rPr>
                </m:ctrlPr>
              </m:sSubPr>
              <m:e>
                <m:r>
                  <w:rPr>
                    <w:rFonts w:ascii="Cambria Math" w:hAnsi="Cambria Math"/>
                  </w:rPr>
                  <m:t>density2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need a structural interpretation because it is defined by a linear projection. In this case, to avoid the issue of endogeneity, an Instrumental Variable has been introducted. </w:t>
      </w:r>
    </w:p>
    <w:p w14:paraId="3BE9C9E0" w14:textId="77777777" w:rsidR="00FA1691" w:rsidRDefault="00FA1691" w:rsidP="00FA1691">
      <w:r w:rsidRPr="009D4F26">
        <w:t xml:space="preserve">In </w:t>
      </w:r>
      <w:r>
        <w:t>the</w:t>
      </w:r>
      <w:r w:rsidRPr="009D4F26">
        <w:t xml:space="preserve"> instrumental variables (IV) analysis, </w:t>
      </w:r>
      <w:r>
        <w:t>the variable “</w:t>
      </w:r>
      <w:r>
        <w:rPr>
          <w:lang w:val="en-US"/>
        </w:rPr>
        <w:t>density2</w:t>
      </w:r>
      <w:r>
        <w:t>” was</w:t>
      </w:r>
      <w:r w:rsidRPr="009D4F26">
        <w:t xml:space="preserve"> initially identified as potentially endogenous </w:t>
      </w:r>
      <w:r>
        <w:t>concerning</w:t>
      </w:r>
      <w:r w:rsidRPr="009D4F26">
        <w:t xml:space="preserve"> </w:t>
      </w:r>
      <w:r>
        <w:t>the Gini Index</w:t>
      </w:r>
      <w:r w:rsidRPr="009D4F26">
        <w:t>, suggesting the need for an instrumental variable approach to obtain unbiased and consistent estimates.</w:t>
      </w:r>
      <w:r>
        <w:t xml:space="preserve"> </w:t>
      </w:r>
      <w:r w:rsidRPr="00DF400E">
        <w:rPr>
          <w:rFonts w:eastAsiaTheme="majorEastAsia"/>
        </w:rPr>
        <w:t>Demo has been selected</w:t>
      </w:r>
      <w:r w:rsidRPr="00DF400E">
        <w:t xml:space="preserve"> as an instrument, hypothesizing that it affects the Gini Index only through its impact on </w:t>
      </w:r>
      <w:r>
        <w:t>unions2</w:t>
      </w:r>
      <w:r w:rsidRPr="00DF400E">
        <w:t>.</w:t>
      </w:r>
      <w:r w:rsidRPr="009D4F26">
        <w:t xml:space="preserve"> </w:t>
      </w:r>
    </w:p>
    <w:p w14:paraId="12F26940" w14:textId="77777777" w:rsidR="00FA1691" w:rsidRDefault="00FA1691" w:rsidP="00FA1691"/>
    <w:p w14:paraId="78BC6BAD" w14:textId="77777777" w:rsidR="00FA1691" w:rsidRDefault="00FA1691" w:rsidP="00FA1691">
      <w:pPr>
        <w:rPr>
          <w:rFonts w:eastAsiaTheme="minorHAnsi"/>
          <w:lang w:val="en-GB" w:eastAsia="en-US"/>
        </w:rPr>
      </w:pPr>
      <w:r>
        <w:rPr>
          <w:rFonts w:eastAsiaTheme="minorHAnsi"/>
          <w:lang w:val="en-GB" w:eastAsia="en-US"/>
        </w:rPr>
        <w:t>The initial phase involves regressing the potentially endogenous variable, Bargaining Power, on the instrumental variable, Democratic Governance, alongside other control variables including Collective Bargaining Coverage, Inflation, Wage Growth, Government Debt, Logarithm of Labor Force, and Women's Unemployment Rate. This step aims to validate the instrument's relevance by ensuring it significantly predicts the endogenous variable.</w:t>
      </w:r>
    </w:p>
    <w:p w14:paraId="6F7BCB39" w14:textId="77777777" w:rsidR="00FA1691" w:rsidRDefault="00FA1691" w:rsidP="00FA1691">
      <w:pPr>
        <w:rPr>
          <w:rFonts w:eastAsiaTheme="minorHAnsi"/>
          <w:lang w:val="en-GB" w:eastAsia="en-US"/>
        </w:rPr>
      </w:pPr>
      <w:r>
        <w:rPr>
          <w:rFonts w:eastAsiaTheme="minorHAnsi"/>
          <w:lang w:val="en-GB" w:eastAsia="en-US"/>
        </w:rPr>
        <w:t>The summary of this first-stage regression indicates significant coefficients, notably for Democratic Governance (Estimate = 0.4693 p &lt; 7.38e-15). This significant relationship confirms the instrumental variable's relevance in explaining variations in Bargaining Power. The analysis additionally reveals a high F-statistic of 113.9. This, coupled with the exceptionally low p-value (less than 2.2e-16), provides compelling statistical evidence that the instrument effectively explains the variation in Bargaining Power.</w:t>
      </w:r>
    </w:p>
    <w:p w14:paraId="7B3041D0" w14:textId="77777777" w:rsidR="00FA1691" w:rsidRDefault="00FA1691" w:rsidP="00FA1691">
      <w:pPr>
        <w:rPr>
          <w:rFonts w:eastAsiaTheme="minorHAnsi"/>
          <w:lang w:val="en-GB" w:eastAsia="en-US"/>
        </w:rPr>
      </w:pPr>
      <w:r>
        <w:rPr>
          <w:rFonts w:eastAsiaTheme="minorHAnsi"/>
          <w:lang w:val="en-GB" w:eastAsia="en-US"/>
        </w:rPr>
        <w:lastRenderedPageBreak/>
        <w:t>The correlation between demo and the residuals from the first-stage regression is approximately 0. This suggests that demo is uncorrelated with the error term in the first-stage regression, supporting the assumption of exogeneity.</w:t>
      </w:r>
    </w:p>
    <w:p w14:paraId="0559CF5D" w14:textId="77777777" w:rsidR="00FA1691" w:rsidRPr="00F62993" w:rsidRDefault="00FA1691" w:rsidP="00FA1691">
      <w:pPr>
        <w:jc w:val="center"/>
      </w:pPr>
      <w:r>
        <w:t>[</w:t>
      </w:r>
      <w:r w:rsidRPr="00F51726">
        <w:t>/Users/jacopobinati/Desktop/thesis/results/first_stage_table.tex</w:t>
      </w:r>
      <w:r>
        <w:t>]</w:t>
      </w:r>
    </w:p>
    <w:p w14:paraId="6174CD91" w14:textId="77777777" w:rsidR="00FA1691" w:rsidRDefault="00FA1691" w:rsidP="00FA1691">
      <w:pPr>
        <w:rPr>
          <w:rFonts w:eastAsiaTheme="minorHAnsi"/>
          <w:lang w:val="en-GB" w:eastAsia="en-US"/>
        </w:rPr>
      </w:pPr>
    </w:p>
    <w:p w14:paraId="58FF2903" w14:textId="77777777" w:rsidR="00FA1691" w:rsidRDefault="00FA1691" w:rsidP="00FA1691">
      <w:pPr>
        <w:rPr>
          <w:rFonts w:eastAsiaTheme="minorHAnsi"/>
          <w:lang w:val="en-GB" w:eastAsia="en-US"/>
        </w:rPr>
      </w:pPr>
      <w:r>
        <w:rPr>
          <w:rFonts w:eastAsiaTheme="minorHAnsi"/>
          <w:lang w:val="en-GB" w:eastAsia="en-US"/>
        </w:rPr>
        <w:t>The next stage focuses on the true relationship of interest. The Gini Index, our dependent variable, is regressed on the estimated Bargaining Power values (obtained from the first stage) alongside the original control variables. This approach aims to isolate the unbiased effect of Bargaining Power on the Gini Index, free from potential endogeneity issues.</w:t>
      </w:r>
    </w:p>
    <w:p w14:paraId="4FD54329" w14:textId="77777777" w:rsidR="00FA1691" w:rsidRDefault="00FA1691" w:rsidP="00FA1691">
      <w:pPr>
        <w:rPr>
          <w:rFonts w:eastAsiaTheme="minorHAnsi"/>
          <w:lang w:val="en-GB" w:eastAsia="en-US"/>
        </w:rPr>
      </w:pPr>
      <w:r>
        <w:rPr>
          <w:rFonts w:eastAsiaTheme="minorHAnsi"/>
          <w:lang w:val="en-GB" w:eastAsia="en-US"/>
        </w:rPr>
        <w:t>The second-stage results reveal a marginally significant coefficient (Estimate = -0.0537, p = 0.05403) for the fitted Bargaining Power values (at a 10% significance level). This suggests a subtle, yet potentially important, influence of Bargaining Power on the Gini Index after controlling for endogeneity through the instrumental variable (IV) method. Democratic Governance is not directly related to Gini Index and only affects it through its relationship with Bargaining Power (</w:t>
      </w:r>
      <w:r>
        <w:rPr>
          <w:lang w:val="en-US"/>
        </w:rPr>
        <w:t>density2</w:t>
      </w:r>
      <w:r>
        <w:rPr>
          <w:rFonts w:eastAsiaTheme="minorHAnsi"/>
          <w:lang w:val="en-GB" w:eastAsia="en-US"/>
        </w:rPr>
        <w:t>), supporting the exclusion restriction assumption.</w:t>
      </w:r>
    </w:p>
    <w:p w14:paraId="437E6B63" w14:textId="77777777" w:rsidR="00FA1691" w:rsidRDefault="00FA1691" w:rsidP="00FA1691">
      <w:pPr>
        <w:rPr>
          <w:rFonts w:eastAsiaTheme="minorHAnsi"/>
          <w:lang w:val="en-GB" w:eastAsia="en-US"/>
        </w:rPr>
      </w:pPr>
    </w:p>
    <w:p w14:paraId="63EA9997" w14:textId="77777777" w:rsidR="00FA1691" w:rsidRDefault="00FA1691" w:rsidP="00FA1691">
      <w:pPr>
        <w:rPr>
          <w:rFonts w:eastAsiaTheme="minorHAnsi"/>
          <w:lang w:val="en-GB" w:eastAsia="en-US"/>
        </w:rPr>
      </w:pPr>
      <w:r>
        <w:rPr>
          <w:rFonts w:eastAsiaTheme="minorHAnsi"/>
          <w:lang w:val="en-GB" w:eastAsia="en-US"/>
        </w:rPr>
        <w:t xml:space="preserve">The overall results from the 2SLS regression suggest that using "demo" as an IV helps address the endogeneity of "density2," leading to more reliable estimates of its effect on income inequality. Furthermore, the analysis highlights the significant impact of other control variables on the Gini Index. This comprehensive IV analysis underscores the validity and strength of Democratic Governance as an instrument for Bargaining Power. More importantly, it sheds light on the intricate relationship between Bargaining Power and the Gini Index. This reinforces the crucial role of selecting and validating strong instrumental variables to achieve unbiased and accurate econometric results. </w:t>
      </w:r>
    </w:p>
    <w:p w14:paraId="3A1333E3" w14:textId="77777777" w:rsidR="00FA1691" w:rsidRDefault="00FA1691" w:rsidP="00FA1691">
      <w:pPr>
        <w:jc w:val="center"/>
      </w:pPr>
      <w:r>
        <w:t>[</w:t>
      </w:r>
      <w:r w:rsidRPr="00F51726">
        <w:t>/Users/jacopobinati/Desktop/thesis/results/second_stage_table.tex</w:t>
      </w:r>
      <w:r>
        <w:t>]</w:t>
      </w:r>
    </w:p>
    <w:p w14:paraId="0DBA52E0" w14:textId="77777777" w:rsidR="00FA1691" w:rsidRDefault="00FA1691" w:rsidP="00FA1691">
      <w:pPr>
        <w:rPr>
          <w:rFonts w:eastAsiaTheme="minorHAnsi"/>
          <w:lang w:val="en-GB" w:eastAsia="en-US"/>
        </w:rPr>
      </w:pPr>
    </w:p>
    <w:p w14:paraId="400A12D2" w14:textId="77777777" w:rsidR="00FA1691" w:rsidRDefault="00FA1691" w:rsidP="00FA1691">
      <w:pPr>
        <w:rPr>
          <w:rFonts w:eastAsiaTheme="minorHAnsi"/>
          <w:lang w:val="en-GB" w:eastAsia="en-US"/>
        </w:rPr>
      </w:pPr>
      <w:r>
        <w:rPr>
          <w:rFonts w:eastAsiaTheme="minorHAnsi"/>
          <w:lang w:val="en-GB" w:eastAsia="en-US"/>
        </w:rPr>
        <w:t>However, the near-threshold significance level of the "fitted_values_density2 " coefficient implies that there may still be some residual endogeneity or other issues affecting the precision of the estimates. Therefore, while the IV approach with "demo" appears to mitigate endogeneity concerns to a large extent, further robustness checks or alternative instruments might be necessary to fully confirm the causal relationship between union density and income inequality.</w:t>
      </w:r>
    </w:p>
    <w:p w14:paraId="5D80EC03" w14:textId="77777777" w:rsidR="00FA1691" w:rsidRDefault="00FA1691" w:rsidP="00FA1691">
      <w:pPr>
        <w:jc w:val="center"/>
      </w:pPr>
    </w:p>
    <w:p w14:paraId="35EB143E" w14:textId="77777777" w:rsidR="00FA1691" w:rsidRDefault="00FA1691" w:rsidP="00FA1691">
      <w:pPr>
        <w:pStyle w:val="Heading1"/>
      </w:pPr>
      <w:r>
        <w:t>Model Results</w:t>
      </w:r>
    </w:p>
    <w:p w14:paraId="1674709C" w14:textId="77777777" w:rsidR="00FA1691" w:rsidRDefault="00FA1691" w:rsidP="00FA1691">
      <w:pPr>
        <w:rPr>
          <w:rFonts w:eastAsiaTheme="minorHAnsi"/>
          <w:lang w:val="en-GB" w:eastAsia="en-US"/>
        </w:rPr>
      </w:pPr>
      <w:r>
        <w:rPr>
          <w:rFonts w:eastAsiaTheme="minorHAnsi"/>
          <w:lang w:val="en-GB" w:eastAsia="en-US"/>
        </w:rPr>
        <w:t xml:space="preserve">The fixed effects regression model with instrumental variables (IV) offers a more robust approach to examining the causal impact of key labour market variables on income inequality, measured by the Gini Index. By introducing the instrumental variable 'demo' (Democratic Governance), the IV model isolates the causal effect of stronger collective bargaining on income inequality. </w:t>
      </w:r>
    </w:p>
    <w:p w14:paraId="0C10BB3C" w14:textId="77777777" w:rsidR="00FA1691" w:rsidRDefault="00FA1691" w:rsidP="00FA1691">
      <w:pPr>
        <w:rPr>
          <w:rFonts w:eastAsiaTheme="minorHAnsi"/>
          <w:lang w:val="en-GB" w:eastAsia="en-US"/>
        </w:rPr>
      </w:pPr>
    </w:p>
    <w:p w14:paraId="78EBA6DD" w14:textId="77777777" w:rsidR="00FA1691" w:rsidRDefault="00FA1691" w:rsidP="00FA1691">
      <w:pPr>
        <w:jc w:val="center"/>
        <w:rPr>
          <w:rFonts w:eastAsiaTheme="minorHAnsi"/>
          <w:lang w:val="en-GB" w:eastAsia="en-US"/>
        </w:rPr>
      </w:pPr>
      <w:r>
        <w:rPr>
          <w:rFonts w:eastAsiaTheme="minorHAnsi"/>
          <w:lang w:val="en-GB" w:eastAsia="en-US"/>
        </w:rPr>
        <w:t>REGRESSION TABLE</w:t>
      </w:r>
    </w:p>
    <w:p w14:paraId="036D63BA" w14:textId="77777777" w:rsidR="00FA1691" w:rsidRDefault="00FA1691" w:rsidP="00FA1691">
      <w:pPr>
        <w:rPr>
          <w:rFonts w:eastAsiaTheme="minorHAnsi"/>
          <w:lang w:val="en-GB" w:eastAsia="en-US"/>
        </w:rPr>
      </w:pPr>
    </w:p>
    <w:p w14:paraId="1697785E" w14:textId="77777777" w:rsidR="00FA1691" w:rsidRDefault="00FA1691" w:rsidP="00FA1691">
      <w:pPr>
        <w:rPr>
          <w:rFonts w:eastAsiaTheme="minorHAnsi"/>
          <w:lang w:val="en-GB" w:eastAsia="en-US"/>
        </w:rPr>
      </w:pPr>
      <w:r w:rsidRPr="001C0C03">
        <w:rPr>
          <w:rFonts w:eastAsiaTheme="minorHAnsi"/>
          <w:lang w:val="en-GB" w:eastAsia="en-US"/>
        </w:rPr>
        <w:t xml:space="preserve">The consistently negative coefficient of 'density2' across various model specifications (ranging from -0.021* to -0.027***, with standard errors around 0.011) indicates a statistically significant relationship between stronger collective bargaining and reduced income inequality. Additionally, the model results show a negative Average Treatment Effect (ATE) of Trade Union Density on the Gini Index, reinforcing the role of unionization in diminishing income disparity. Higher levels of unionization not only correlate with lower income inequality but also underscore the substantial bargaining power that unions hold in the labour market. This </w:t>
      </w:r>
      <w:r w:rsidRPr="001C0C03">
        <w:rPr>
          <w:rFonts w:eastAsiaTheme="minorHAnsi"/>
          <w:lang w:val="en-GB" w:eastAsia="en-US"/>
        </w:rPr>
        <w:lastRenderedPageBreak/>
        <w:t>suggests that labour unions are a powerful mechanism for promoting more equitable income distribution across different European countries.</w:t>
      </w:r>
    </w:p>
    <w:p w14:paraId="4BF15E8D" w14:textId="77777777" w:rsidR="00FA1691" w:rsidRDefault="00FA1691" w:rsidP="00FA1691">
      <w:pPr>
        <w:rPr>
          <w:rFonts w:eastAsiaTheme="minorHAnsi"/>
          <w:lang w:val="en-GB" w:eastAsia="en-US"/>
        </w:rPr>
      </w:pPr>
    </w:p>
    <w:p w14:paraId="05C52E1A" w14:textId="77777777" w:rsidR="00FA1691" w:rsidRDefault="00FA1691" w:rsidP="00FA1691">
      <w:pPr>
        <w:rPr>
          <w:rFonts w:eastAsiaTheme="minorHAnsi"/>
          <w:lang w:val="en-GB" w:eastAsia="en-US"/>
        </w:rPr>
      </w:pPr>
      <w:r>
        <w:rPr>
          <w:rFonts w:eastAsiaTheme="minorHAnsi"/>
          <w:lang w:val="en-GB" w:eastAsia="en-US"/>
        </w:rPr>
        <w:t xml:space="preserve">The application of the IV model, particularly with 'demo' as the instrumental variable, allows us to interpret these relationships as causal, not simply correlational. This implies that the observed relationships are less likely to be influenced by omitted variable bias or reverse causality. These findings contribute valuable insights into policy discussions aimed at reducing income inequality and improving labour market outcomes. This is in line with traditional views on the role of unions in promoting fair wages and reducing income disparities suggested by David Card </w:t>
      </w:r>
      <w:r>
        <w:rPr>
          <w:rFonts w:eastAsiaTheme="minorHAnsi"/>
          <w:lang w:val="en-GB" w:eastAsia="en-US"/>
        </w:rPr>
        <w:fldChar w:fldCharType="begin"/>
      </w:r>
      <w:r>
        <w:rPr>
          <w:rFonts w:eastAsiaTheme="minorHAnsi"/>
          <w:lang w:val="en-GB" w:eastAsia="en-US"/>
        </w:rPr>
        <w:instrText xml:space="preserve"> ADDIN ZOTERO_ITEM CSL_CITATION {"citationID":"Yvgc07QN","properties":{"formattedCitation":"(David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(David Card 2001)</w:t>
      </w:r>
      <w:r>
        <w:rPr>
          <w:rFonts w:eastAsiaTheme="minorHAnsi"/>
          <w:lang w:val="en-GB" w:eastAsia="en-US"/>
        </w:rPr>
        <w:fldChar w:fldCharType="end"/>
      </w:r>
      <w:r>
        <w:rPr>
          <w:rFonts w:eastAsiaTheme="minorHAnsi"/>
          <w:lang w:val="en-GB" w:eastAsia="en-US"/>
        </w:rPr>
        <w:t>. Increased union density signifies a larger portion of the workforce having their salaries negotiated by unions, leveraging collective representation to advocate for policies and wage negotiations benefiting a wider spectrum of employees, beyond just high earners.</w:t>
      </w:r>
    </w:p>
    <w:p w14:paraId="78865DFA" w14:textId="77777777" w:rsidR="00FA1691" w:rsidRDefault="00FA1691" w:rsidP="00FA1691">
      <w:pPr>
        <w:rPr>
          <w:rFonts w:eastAsiaTheme="minorHAnsi"/>
          <w:lang w:val="en-GB" w:eastAsia="en-US"/>
        </w:rPr>
      </w:pPr>
      <w:r>
        <w:rPr>
          <w:rFonts w:eastAsiaTheme="minorHAnsi"/>
          <w:lang w:val="en-GB" w:eastAsia="en-US"/>
        </w:rPr>
        <w:t>The analysis brings to light the substantial influence of additional control variables, notably Wage Growth, on the Gini Index. Wage Growth plays a pivotal role in shaping income inequality by directly impacting the earnings of individuals across different income brackets. As wages increase or decrease, so too does the disparity in income distribution. Higher wage growth may lead to a more equitable distribution of income, as individuals across various income levels experience proportionate increases in earnings, thereby potentially reducing the Gini Index.</w:t>
      </w:r>
    </w:p>
    <w:p w14:paraId="55D04B69" w14:textId="77777777" w:rsidR="00FA1691" w:rsidRDefault="00FA1691" w:rsidP="00FA1691">
      <w:pPr>
        <w:rPr>
          <w:rFonts w:eastAsiaTheme="minorHAnsi"/>
          <w:lang w:val="en-GB" w:eastAsia="en-US"/>
        </w:rPr>
      </w:pPr>
      <w:r>
        <w:rPr>
          <w:rFonts w:eastAsiaTheme="minorHAnsi"/>
          <w:lang w:val="en-GB" w:eastAsia="en-US"/>
        </w:rPr>
        <w:t xml:space="preserve">This comprehensive IV analysis not only emphasizes the robustness of the methodology but also sheds light on the pivotal role of Democratic Governance as a determinant of Bargaining Power within labour unions. In European countries, where political factors often intertwine with labour dynamics, the strength of labour unions can be significantly influenced by the political landscape. Democratic Governance serves as a critical instrument in shaping the </w:t>
      </w:r>
      <w:r>
        <w:rPr>
          <w:rFonts w:eastAsiaTheme="minorHAnsi"/>
          <w:lang w:val="en-GB" w:eastAsia="en-US"/>
        </w:rPr>
        <w:lastRenderedPageBreak/>
        <w:t xml:space="preserve">bargaining power of unions, as it reflects the extent to which labour rights are protected, and collective bargaining is enshrined within the legal framework. As Richard Hyman underlined, strong democratic institutions facilitate a conducive environment for unions to negotiate fair wages, benefits, and working conditions on behalf of workers </w:t>
      </w:r>
      <w:r>
        <w:rPr>
          <w:rFonts w:eastAsiaTheme="minorHAnsi"/>
          <w:lang w:val="en-GB" w:eastAsia="en-US"/>
        </w:rPr>
        <w:fldChar w:fldCharType="begin"/>
      </w:r>
      <w:r>
        <w:rPr>
          <w:rFonts w:eastAsiaTheme="minorHAnsi"/>
          <w:lang w:val="en-GB" w:eastAsia="en-US"/>
        </w:rPr>
        <w:instrText xml:space="preserve"> ADDIN ZOTERO_ITEM CSL_CITATION {"citationID":"o4AoskiD","properties":{"formattedCitation":"(Hyman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(Hyman 2007)</w:t>
      </w:r>
      <w:r>
        <w:rPr>
          <w:rFonts w:eastAsiaTheme="minorHAnsi"/>
          <w:lang w:val="en-GB" w:eastAsia="en-US"/>
        </w:rPr>
        <w:fldChar w:fldCharType="end"/>
      </w:r>
      <w:r>
        <w:rPr>
          <w:rFonts w:eastAsiaTheme="minorHAnsi"/>
          <w:lang w:val="en-GB" w:eastAsia="en-US"/>
        </w:rPr>
        <w:t>.</w:t>
      </w:r>
    </w:p>
    <w:p w14:paraId="32E9E445" w14:textId="77777777" w:rsidR="00FA1691" w:rsidRDefault="00FA1691" w:rsidP="00FA1691">
      <w:pPr>
        <w:rPr>
          <w:rFonts w:eastAsiaTheme="minorHAnsi"/>
          <w:lang w:val="en-GB" w:eastAsia="en-US"/>
        </w:rPr>
      </w:pPr>
      <w:r>
        <w:rPr>
          <w:rFonts w:eastAsiaTheme="minorHAnsi"/>
          <w:lang w:val="en-GB" w:eastAsia="en-US"/>
        </w:rPr>
        <w:t xml:space="preserve">More importantly, it sheds light on the intricate relationship between Bargaining Power and the Gini Index. </w:t>
      </w:r>
    </w:p>
    <w:p w14:paraId="1883E482" w14:textId="11F12DF8" w:rsidR="00335ECB" w:rsidRPr="00335ECB" w:rsidRDefault="00335ECB" w:rsidP="00335ECB">
      <w:pPr>
        <w:pStyle w:val="NoSpacing"/>
        <w:rPr>
          <w:rFonts w:cs="Times New Roman"/>
          <w:sz w:val="14"/>
          <w:szCs w:val="14"/>
        </w:rPr>
      </w:pPr>
      <w:r w:rsidRPr="00335ECB">
        <w:rPr>
          <w:rFonts w:cs="Times New Roman"/>
          <w:sz w:val="14"/>
          <w:szCs w:val="14"/>
        </w:rPr>
        <w:t>\begin{table}[!htbp] \centering</w:t>
      </w:r>
    </w:p>
    <w:p w14:paraId="16E212E4" w14:textId="1CC57824" w:rsidR="00335ECB" w:rsidRPr="00335ECB" w:rsidRDefault="00335ECB" w:rsidP="00335ECB">
      <w:pPr>
        <w:pStyle w:val="NoSpacing"/>
        <w:rPr>
          <w:rFonts w:cs="Times New Roman"/>
          <w:sz w:val="14"/>
          <w:szCs w:val="14"/>
        </w:rPr>
      </w:pPr>
      <w:r w:rsidRPr="00335ECB">
        <w:rPr>
          <w:rFonts w:cs="Times New Roman"/>
          <w:sz w:val="14"/>
          <w:szCs w:val="14"/>
        </w:rPr>
        <w:t>\caption{Regression Results}</w:t>
      </w:r>
    </w:p>
    <w:p w14:paraId="79FB6920" w14:textId="0C3AE2FB" w:rsidR="00335ECB" w:rsidRPr="00335ECB" w:rsidRDefault="00335ECB" w:rsidP="00335ECB">
      <w:pPr>
        <w:pStyle w:val="NoSpacing"/>
        <w:rPr>
          <w:rFonts w:cs="Times New Roman"/>
          <w:sz w:val="14"/>
          <w:szCs w:val="14"/>
        </w:rPr>
      </w:pPr>
      <w:r w:rsidRPr="00335ECB">
        <w:rPr>
          <w:rFonts w:cs="Times New Roman"/>
          <w:sz w:val="14"/>
          <w:szCs w:val="14"/>
        </w:rPr>
        <w:t>\label{}</w:t>
      </w:r>
    </w:p>
    <w:p w14:paraId="3CFCE896" w14:textId="4A227201" w:rsidR="00335ECB" w:rsidRPr="00335ECB" w:rsidRDefault="00335ECB" w:rsidP="00335ECB">
      <w:pPr>
        <w:pStyle w:val="NoSpacing"/>
        <w:rPr>
          <w:rFonts w:cs="Times New Roman"/>
          <w:sz w:val="14"/>
          <w:szCs w:val="14"/>
        </w:rPr>
      </w:pPr>
      <w:r w:rsidRPr="00335ECB">
        <w:rPr>
          <w:rFonts w:cs="Times New Roman"/>
          <w:sz w:val="14"/>
          <w:szCs w:val="14"/>
        </w:rPr>
        <w:t>\begin{tabular}{@{\extracolsep{5pt}}lccc}</w:t>
      </w:r>
    </w:p>
    <w:p w14:paraId="4D7394FD" w14:textId="267C5A65" w:rsidR="00335ECB" w:rsidRPr="00335ECB" w:rsidRDefault="00335ECB" w:rsidP="00335ECB">
      <w:pPr>
        <w:pStyle w:val="NoSpacing"/>
        <w:rPr>
          <w:rFonts w:cs="Times New Roman"/>
          <w:sz w:val="14"/>
          <w:szCs w:val="14"/>
        </w:rPr>
      </w:pPr>
      <w:r w:rsidRPr="00335ECB">
        <w:rPr>
          <w:rFonts w:cs="Times New Roman"/>
          <w:sz w:val="14"/>
          <w:szCs w:val="14"/>
        </w:rPr>
        <w:t>\\[-1.8ex]\hline</w:t>
      </w:r>
    </w:p>
    <w:p w14:paraId="66278739" w14:textId="0BA499DB" w:rsidR="00335ECB" w:rsidRPr="00335ECB" w:rsidRDefault="00335ECB" w:rsidP="00335ECB">
      <w:pPr>
        <w:pStyle w:val="NoSpacing"/>
        <w:rPr>
          <w:rFonts w:cs="Times New Roman"/>
          <w:sz w:val="14"/>
          <w:szCs w:val="14"/>
        </w:rPr>
      </w:pPr>
      <w:r w:rsidRPr="00335ECB">
        <w:rPr>
          <w:rFonts w:cs="Times New Roman"/>
          <w:sz w:val="14"/>
          <w:szCs w:val="14"/>
        </w:rPr>
        <w:t>\hline \\[-1.8ex]</w:t>
      </w:r>
    </w:p>
    <w:p w14:paraId="157B8354" w14:textId="0A89D3D6" w:rsidR="00335ECB" w:rsidRPr="00335ECB" w:rsidRDefault="00335ECB" w:rsidP="00335ECB">
      <w:pPr>
        <w:pStyle w:val="NoSpacing"/>
        <w:rPr>
          <w:rFonts w:cs="Times New Roman"/>
          <w:sz w:val="14"/>
          <w:szCs w:val="14"/>
        </w:rPr>
      </w:pPr>
      <w:r w:rsidRPr="00335ECB">
        <w:rPr>
          <w:rFonts w:cs="Times New Roman"/>
          <w:sz w:val="14"/>
          <w:szCs w:val="14"/>
        </w:rPr>
        <w:t>&amp; \multicolumn{3}{c}{\textit{Dependent variable:}} \\</w:t>
      </w:r>
    </w:p>
    <w:p w14:paraId="3E69FD64" w14:textId="64906C4A" w:rsidR="00335ECB" w:rsidRPr="00335ECB" w:rsidRDefault="00335ECB" w:rsidP="00335ECB">
      <w:pPr>
        <w:pStyle w:val="NoSpacing"/>
        <w:rPr>
          <w:rFonts w:cs="Times New Roman"/>
          <w:sz w:val="14"/>
          <w:szCs w:val="14"/>
        </w:rPr>
      </w:pPr>
      <w:r w:rsidRPr="00335ECB">
        <w:rPr>
          <w:rFonts w:cs="Times New Roman"/>
          <w:sz w:val="14"/>
          <w:szCs w:val="14"/>
        </w:rPr>
        <w:t>\cline{2-4}</w:t>
      </w:r>
    </w:p>
    <w:p w14:paraId="032AB0EF" w14:textId="139751E4" w:rsidR="00335ECB" w:rsidRPr="00335ECB" w:rsidRDefault="00335ECB" w:rsidP="00335ECB">
      <w:pPr>
        <w:pStyle w:val="NoSpacing"/>
        <w:rPr>
          <w:rFonts w:cs="Times New Roman"/>
          <w:sz w:val="14"/>
          <w:szCs w:val="14"/>
        </w:rPr>
      </w:pPr>
      <w:r w:rsidRPr="00335ECB">
        <w:rPr>
          <w:rFonts w:cs="Times New Roman"/>
          <w:sz w:val="14"/>
          <w:szCs w:val="14"/>
        </w:rPr>
        <w:t>\\[-1.8ex] &amp; \multicolumn{3}{c}{Gini\_Index} \\</w:t>
      </w:r>
    </w:p>
    <w:p w14:paraId="17D27EDE" w14:textId="2F2D46BC" w:rsidR="00335ECB" w:rsidRPr="00335ECB" w:rsidRDefault="00335ECB" w:rsidP="00335ECB">
      <w:pPr>
        <w:pStyle w:val="NoSpacing"/>
        <w:rPr>
          <w:rFonts w:cs="Times New Roman"/>
          <w:sz w:val="14"/>
          <w:szCs w:val="14"/>
        </w:rPr>
      </w:pPr>
      <w:r w:rsidRPr="00335ECB">
        <w:rPr>
          <w:rFonts w:cs="Times New Roman"/>
          <w:sz w:val="14"/>
          <w:szCs w:val="14"/>
        </w:rPr>
        <w:t>\\[-1.8ex] &amp; (1) &amp; (2) &amp; (3)\\</w:t>
      </w:r>
    </w:p>
    <w:p w14:paraId="0159CD6B" w14:textId="76FF68E5" w:rsidR="00335ECB" w:rsidRPr="00335ECB" w:rsidRDefault="00335ECB" w:rsidP="00335ECB">
      <w:pPr>
        <w:pStyle w:val="NoSpacing"/>
        <w:rPr>
          <w:rFonts w:cs="Times New Roman"/>
          <w:sz w:val="14"/>
          <w:szCs w:val="14"/>
        </w:rPr>
      </w:pPr>
      <w:r w:rsidRPr="00335ECB">
        <w:rPr>
          <w:rFonts w:cs="Times New Roman"/>
          <w:sz w:val="14"/>
          <w:szCs w:val="14"/>
        </w:rPr>
        <w:t>\hline \\[-1.8ex]</w:t>
      </w:r>
    </w:p>
    <w:p w14:paraId="6D2A1FEA" w14:textId="14FF87C2" w:rsidR="00335ECB" w:rsidRPr="00335ECB" w:rsidRDefault="00335ECB" w:rsidP="00335ECB">
      <w:pPr>
        <w:pStyle w:val="NoSpacing"/>
        <w:rPr>
          <w:rFonts w:cs="Times New Roman"/>
          <w:sz w:val="14"/>
          <w:szCs w:val="14"/>
        </w:rPr>
      </w:pPr>
      <w:r w:rsidRPr="00335ECB">
        <w:rPr>
          <w:rFonts w:cs="Times New Roman"/>
          <w:sz w:val="14"/>
          <w:szCs w:val="14"/>
        </w:rPr>
        <w:t>Density Squared &amp; $-$0.027$^{***}$ &amp; $-$0.024$^{**}$ &amp; $-$0.021$^{*}$ \\</w:t>
      </w:r>
    </w:p>
    <w:p w14:paraId="04174DFF" w14:textId="0A3E02ED" w:rsidR="00335ECB" w:rsidRPr="00335ECB" w:rsidRDefault="00335ECB" w:rsidP="00335ECB">
      <w:pPr>
        <w:pStyle w:val="NoSpacing"/>
        <w:rPr>
          <w:rFonts w:cs="Times New Roman"/>
          <w:sz w:val="14"/>
          <w:szCs w:val="14"/>
        </w:rPr>
      </w:pPr>
      <w:r w:rsidRPr="00335ECB">
        <w:rPr>
          <w:rFonts w:cs="Times New Roman"/>
          <w:sz w:val="14"/>
          <w:szCs w:val="14"/>
        </w:rPr>
        <w:t>&amp; (0.011) &amp; (0.011) &amp; (0.011) \\</w:t>
      </w:r>
    </w:p>
    <w:p w14:paraId="0D17E391" w14:textId="7528387E" w:rsidR="00335ECB" w:rsidRPr="00335ECB" w:rsidRDefault="00335ECB" w:rsidP="00335ECB">
      <w:pPr>
        <w:pStyle w:val="NoSpacing"/>
        <w:rPr>
          <w:rFonts w:cs="Times New Roman"/>
          <w:sz w:val="14"/>
          <w:szCs w:val="14"/>
        </w:rPr>
      </w:pPr>
      <w:r w:rsidRPr="00335ECB">
        <w:rPr>
          <w:rFonts w:cs="Times New Roman"/>
          <w:sz w:val="14"/>
          <w:szCs w:val="14"/>
        </w:rPr>
        <w:t>Collective Bargain Coverage &amp; 0.022$^{***}$ &amp; 0.024$^{***}$ &amp; 0.026$^{***}$ \\</w:t>
      </w:r>
    </w:p>
    <w:p w14:paraId="6881E06E" w14:textId="256CB0EA" w:rsidR="00335ECB" w:rsidRPr="00335ECB" w:rsidRDefault="00335ECB" w:rsidP="00335ECB">
      <w:pPr>
        <w:pStyle w:val="NoSpacing"/>
        <w:rPr>
          <w:rFonts w:cs="Times New Roman"/>
          <w:sz w:val="14"/>
          <w:szCs w:val="14"/>
        </w:rPr>
      </w:pPr>
      <w:r w:rsidRPr="00335ECB">
        <w:rPr>
          <w:rFonts w:cs="Times New Roman"/>
          <w:sz w:val="14"/>
          <w:szCs w:val="14"/>
        </w:rPr>
        <w:t>&amp; (0.008) &amp; (0.008) &amp; (0.008) \\</w:t>
      </w:r>
    </w:p>
    <w:p w14:paraId="598BC2FC" w14:textId="04E5D30E" w:rsidR="00335ECB" w:rsidRPr="00335ECB" w:rsidRDefault="00335ECB" w:rsidP="00335ECB">
      <w:pPr>
        <w:pStyle w:val="NoSpacing"/>
        <w:rPr>
          <w:rFonts w:cs="Times New Roman"/>
          <w:sz w:val="14"/>
          <w:szCs w:val="14"/>
        </w:rPr>
      </w:pPr>
      <w:r w:rsidRPr="00335ECB">
        <w:rPr>
          <w:rFonts w:cs="Times New Roman"/>
          <w:sz w:val="14"/>
          <w:szCs w:val="14"/>
        </w:rPr>
        <w:t>Inflation &amp; $-$0.001 &amp; $-$0.001 &amp; $-$0.001 \\</w:t>
      </w:r>
    </w:p>
    <w:p w14:paraId="61C43462" w14:textId="15E9F722" w:rsidR="00335ECB" w:rsidRPr="00335ECB" w:rsidRDefault="00335ECB" w:rsidP="00335ECB">
      <w:pPr>
        <w:pStyle w:val="NoSpacing"/>
        <w:rPr>
          <w:rFonts w:cs="Times New Roman"/>
          <w:sz w:val="14"/>
          <w:szCs w:val="14"/>
        </w:rPr>
      </w:pPr>
      <w:r w:rsidRPr="00335ECB">
        <w:rPr>
          <w:rFonts w:cs="Times New Roman"/>
          <w:sz w:val="14"/>
          <w:szCs w:val="14"/>
        </w:rPr>
        <w:t>&amp; (0.002) &amp; (0.002) &amp; (0.002) \\</w:t>
      </w:r>
    </w:p>
    <w:p w14:paraId="3F1A7097" w14:textId="4CE1CF8D" w:rsidR="00335ECB" w:rsidRPr="00335ECB" w:rsidRDefault="00335ECB" w:rsidP="00335ECB">
      <w:pPr>
        <w:pStyle w:val="NoSpacing"/>
        <w:rPr>
          <w:rFonts w:cs="Times New Roman"/>
          <w:sz w:val="14"/>
          <w:szCs w:val="14"/>
        </w:rPr>
      </w:pPr>
      <w:r w:rsidRPr="00335ECB">
        <w:rPr>
          <w:rFonts w:cs="Times New Roman"/>
          <w:sz w:val="14"/>
          <w:szCs w:val="14"/>
        </w:rPr>
        <w:t>Wage Growth &amp; 0.003 &amp; 0.003 &amp; 0.002 \\</w:t>
      </w:r>
    </w:p>
    <w:p w14:paraId="745E144A" w14:textId="05D92CB6" w:rsidR="00335ECB" w:rsidRPr="00335ECB" w:rsidRDefault="00335ECB" w:rsidP="00335ECB">
      <w:pPr>
        <w:pStyle w:val="NoSpacing"/>
        <w:rPr>
          <w:rFonts w:cs="Times New Roman"/>
          <w:sz w:val="14"/>
          <w:szCs w:val="14"/>
        </w:rPr>
      </w:pPr>
      <w:r w:rsidRPr="00335ECB">
        <w:rPr>
          <w:rFonts w:cs="Times New Roman"/>
          <w:sz w:val="14"/>
          <w:szCs w:val="14"/>
        </w:rPr>
        <w:t>&amp; (0.002) &amp; (0.002) &amp; (0.002) \\</w:t>
      </w:r>
    </w:p>
    <w:p w14:paraId="583D4701" w14:textId="2A988322" w:rsidR="00335ECB" w:rsidRPr="00335ECB" w:rsidRDefault="00335ECB" w:rsidP="00335ECB">
      <w:pPr>
        <w:pStyle w:val="NoSpacing"/>
        <w:rPr>
          <w:rFonts w:cs="Times New Roman"/>
          <w:sz w:val="14"/>
          <w:szCs w:val="14"/>
        </w:rPr>
      </w:pPr>
      <w:r w:rsidRPr="00335ECB">
        <w:rPr>
          <w:rFonts w:cs="Times New Roman"/>
          <w:sz w:val="14"/>
          <w:szCs w:val="14"/>
        </w:rPr>
        <w:t>Female Workers &amp; $-$0.00000 &amp; 0.00000 &amp; $-$0.00000 \\</w:t>
      </w:r>
    </w:p>
    <w:p w14:paraId="41D9CF66" w14:textId="5CB9AAFF" w:rsidR="00335ECB" w:rsidRPr="00335ECB" w:rsidRDefault="00335ECB" w:rsidP="00335ECB">
      <w:pPr>
        <w:pStyle w:val="NoSpacing"/>
        <w:rPr>
          <w:rFonts w:cs="Times New Roman"/>
          <w:sz w:val="14"/>
          <w:szCs w:val="14"/>
        </w:rPr>
      </w:pPr>
      <w:r w:rsidRPr="00335ECB">
        <w:rPr>
          <w:rFonts w:cs="Times New Roman"/>
          <w:sz w:val="14"/>
          <w:szCs w:val="14"/>
        </w:rPr>
        <w:t>&amp; (0.00001) &amp; (0.00001) &amp; (0.00001) \\</w:t>
      </w:r>
    </w:p>
    <w:p w14:paraId="5BF65452" w14:textId="48D592AA" w:rsidR="00335ECB" w:rsidRPr="00335ECB" w:rsidRDefault="00335ECB" w:rsidP="00335ECB">
      <w:pPr>
        <w:pStyle w:val="NoSpacing"/>
        <w:rPr>
          <w:rFonts w:cs="Times New Roman"/>
          <w:sz w:val="14"/>
          <w:szCs w:val="14"/>
        </w:rPr>
      </w:pPr>
      <w:r w:rsidRPr="00335ECB">
        <w:rPr>
          <w:rFonts w:cs="Times New Roman"/>
          <w:sz w:val="14"/>
          <w:szCs w:val="14"/>
        </w:rPr>
        <w:t>Log Minimum Wage &amp; $-$0.001$^{***}$ &amp; $-$0.001$^{**}$ &amp; $-$0.0005$^{**}$ \\</w:t>
      </w:r>
    </w:p>
    <w:p w14:paraId="140DA695" w14:textId="7085A327" w:rsidR="00335ECB" w:rsidRPr="00335ECB" w:rsidRDefault="00335ECB" w:rsidP="00335ECB">
      <w:pPr>
        <w:pStyle w:val="NoSpacing"/>
        <w:rPr>
          <w:rFonts w:cs="Times New Roman"/>
          <w:sz w:val="14"/>
          <w:szCs w:val="14"/>
        </w:rPr>
      </w:pPr>
      <w:r w:rsidRPr="00335ECB">
        <w:rPr>
          <w:rFonts w:cs="Times New Roman"/>
          <w:sz w:val="14"/>
          <w:szCs w:val="14"/>
        </w:rPr>
        <w:t>&amp; (0.0002) &amp; (0.0002) &amp; (0.0002) \\</w:t>
      </w:r>
    </w:p>
    <w:p w14:paraId="6ABC5EF8" w14:textId="58706D7D" w:rsidR="00335ECB" w:rsidRPr="00335ECB" w:rsidRDefault="00335ECB" w:rsidP="00335ECB">
      <w:pPr>
        <w:pStyle w:val="NoSpacing"/>
        <w:rPr>
          <w:rFonts w:cs="Times New Roman"/>
          <w:sz w:val="14"/>
          <w:szCs w:val="14"/>
        </w:rPr>
      </w:pPr>
      <w:r w:rsidRPr="00335ECB">
        <w:rPr>
          <w:rFonts w:cs="Times New Roman"/>
          <w:sz w:val="14"/>
          <w:szCs w:val="14"/>
        </w:rPr>
        <w:t>Log GDP &amp; $-$0.001 &amp; $-$0.001 &amp; $-$0.001 \\</w:t>
      </w:r>
    </w:p>
    <w:p w14:paraId="57943CD0" w14:textId="68E504FF" w:rsidR="00335ECB" w:rsidRPr="00335ECB" w:rsidRDefault="00335ECB" w:rsidP="00335ECB">
      <w:pPr>
        <w:pStyle w:val="NoSpacing"/>
        <w:rPr>
          <w:rFonts w:cs="Times New Roman"/>
          <w:sz w:val="14"/>
          <w:szCs w:val="14"/>
        </w:rPr>
      </w:pPr>
      <w:r w:rsidRPr="00335ECB">
        <w:rPr>
          <w:rFonts w:cs="Times New Roman"/>
          <w:sz w:val="14"/>
          <w:szCs w:val="14"/>
        </w:rPr>
        <w:t>&amp; (0.001) &amp; (0.001) &amp; (0.001) \\</w:t>
      </w:r>
    </w:p>
    <w:p w14:paraId="6CEDE6E7" w14:textId="02C94932" w:rsidR="00335ECB" w:rsidRPr="00335ECB" w:rsidRDefault="00335ECB" w:rsidP="00335ECB">
      <w:pPr>
        <w:pStyle w:val="NoSpacing"/>
        <w:rPr>
          <w:rFonts w:cs="Times New Roman"/>
          <w:sz w:val="14"/>
          <w:szCs w:val="14"/>
        </w:rPr>
      </w:pPr>
      <w:r w:rsidRPr="00335ECB">
        <w:rPr>
          <w:rFonts w:cs="Times New Roman"/>
          <w:sz w:val="14"/>
          <w:szCs w:val="14"/>
        </w:rPr>
        <w:t>lnGDP &amp; $-$0.038$^{***}$ &amp; $-$0.038$^{***}$ &amp; $-$0.037$^{***}$ \\</w:t>
      </w:r>
    </w:p>
    <w:p w14:paraId="7DC028F8" w14:textId="31C4CDDC" w:rsidR="00335ECB" w:rsidRPr="00335ECB" w:rsidRDefault="00335ECB" w:rsidP="00335ECB">
      <w:pPr>
        <w:pStyle w:val="NoSpacing"/>
        <w:rPr>
          <w:rFonts w:cs="Times New Roman"/>
          <w:sz w:val="14"/>
          <w:szCs w:val="14"/>
        </w:rPr>
      </w:pPr>
      <w:r w:rsidRPr="00335ECB">
        <w:rPr>
          <w:rFonts w:cs="Times New Roman"/>
          <w:sz w:val="14"/>
          <w:szCs w:val="14"/>
        </w:rPr>
        <w:t>&amp; (0.004) &amp; (0.004) &amp; (0.004) \\</w:t>
      </w:r>
    </w:p>
    <w:p w14:paraId="4FF0B871" w14:textId="163D9459" w:rsidR="00335ECB" w:rsidRPr="00335ECB" w:rsidRDefault="00335ECB" w:rsidP="00335ECB">
      <w:pPr>
        <w:pStyle w:val="NoSpacing"/>
        <w:rPr>
          <w:rFonts w:cs="Times New Roman"/>
          <w:sz w:val="14"/>
          <w:szCs w:val="14"/>
        </w:rPr>
      </w:pPr>
      <w:r w:rsidRPr="00335ECB">
        <w:rPr>
          <w:rFonts w:cs="Times New Roman"/>
          <w:sz w:val="14"/>
          <w:szCs w:val="14"/>
        </w:rPr>
        <w:t>Female\_Workers &amp; $-$0.001$^{***}$ &amp; $-$0.001$^{***}$ &amp; $-$0.001$^{***}$ \\</w:t>
      </w:r>
    </w:p>
    <w:p w14:paraId="60E094C0" w14:textId="2A018AF5" w:rsidR="00335ECB" w:rsidRPr="00335ECB" w:rsidRDefault="00335ECB" w:rsidP="00335ECB">
      <w:pPr>
        <w:pStyle w:val="NoSpacing"/>
        <w:rPr>
          <w:rFonts w:cs="Times New Roman"/>
          <w:sz w:val="14"/>
          <w:szCs w:val="14"/>
        </w:rPr>
      </w:pPr>
      <w:r w:rsidRPr="00335ECB">
        <w:rPr>
          <w:rFonts w:cs="Times New Roman"/>
          <w:sz w:val="14"/>
          <w:szCs w:val="14"/>
        </w:rPr>
        <w:t>&amp; (0.0002) &amp; (0.0002) &amp; (0.0002) \\</w:t>
      </w:r>
    </w:p>
    <w:p w14:paraId="22B77174" w14:textId="6B1BE059" w:rsidR="00335ECB" w:rsidRPr="00335ECB" w:rsidRDefault="00335ECB" w:rsidP="00335ECB">
      <w:pPr>
        <w:pStyle w:val="NoSpacing"/>
        <w:rPr>
          <w:rFonts w:cs="Times New Roman"/>
          <w:sz w:val="14"/>
          <w:szCs w:val="14"/>
        </w:rPr>
      </w:pPr>
      <w:r w:rsidRPr="00335ECB">
        <w:rPr>
          <w:rFonts w:cs="Times New Roman"/>
          <w:sz w:val="14"/>
          <w:szCs w:val="14"/>
        </w:rPr>
        <w:t>density2:cluster2 &amp; 0.002 &amp; 0.002 &amp; 0.003 \\</w:t>
      </w:r>
    </w:p>
    <w:p w14:paraId="72883199" w14:textId="24CE702A" w:rsidR="00335ECB" w:rsidRPr="00335ECB" w:rsidRDefault="00335ECB" w:rsidP="00335ECB">
      <w:pPr>
        <w:pStyle w:val="NoSpacing"/>
        <w:rPr>
          <w:rFonts w:cs="Times New Roman"/>
          <w:sz w:val="14"/>
          <w:szCs w:val="14"/>
        </w:rPr>
      </w:pPr>
      <w:r w:rsidRPr="00335ECB">
        <w:rPr>
          <w:rFonts w:cs="Times New Roman"/>
          <w:sz w:val="14"/>
          <w:szCs w:val="14"/>
        </w:rPr>
        <w:t>&amp; (0.007) &amp; (0.007) &amp; (0.007) \\</w:t>
      </w:r>
    </w:p>
    <w:p w14:paraId="6DE3BF34" w14:textId="22CE055B" w:rsidR="00335ECB" w:rsidRPr="00335ECB" w:rsidRDefault="00335ECB" w:rsidP="00335ECB">
      <w:pPr>
        <w:pStyle w:val="NoSpacing"/>
        <w:rPr>
          <w:rFonts w:cs="Times New Roman"/>
          <w:sz w:val="14"/>
          <w:szCs w:val="14"/>
        </w:rPr>
      </w:pPr>
      <w:r w:rsidRPr="00335ECB">
        <w:rPr>
          <w:rFonts w:cs="Times New Roman"/>
          <w:sz w:val="14"/>
          <w:szCs w:val="14"/>
        </w:rPr>
        <w:t>density2:cluster3 &amp; $-$0.001 &amp; $-$0.001 &amp; $-$0.0003 \\</w:t>
      </w:r>
    </w:p>
    <w:p w14:paraId="552B1B36" w14:textId="09CBEC30" w:rsidR="00335ECB" w:rsidRPr="00335ECB" w:rsidRDefault="00335ECB" w:rsidP="00335ECB">
      <w:pPr>
        <w:pStyle w:val="NoSpacing"/>
        <w:rPr>
          <w:rFonts w:cs="Times New Roman"/>
          <w:sz w:val="14"/>
          <w:szCs w:val="14"/>
        </w:rPr>
      </w:pPr>
      <w:r w:rsidRPr="00335ECB">
        <w:rPr>
          <w:rFonts w:cs="Times New Roman"/>
          <w:sz w:val="14"/>
          <w:szCs w:val="14"/>
        </w:rPr>
        <w:t>&amp; (0.007) &amp; (0.007) &amp; (0.007) \\</w:t>
      </w:r>
    </w:p>
    <w:p w14:paraId="71BFC10E" w14:textId="3918517B" w:rsidR="00335ECB" w:rsidRPr="00335ECB" w:rsidRDefault="00335ECB" w:rsidP="00335ECB">
      <w:pPr>
        <w:pStyle w:val="NoSpacing"/>
        <w:rPr>
          <w:rFonts w:cs="Times New Roman"/>
          <w:sz w:val="14"/>
          <w:szCs w:val="14"/>
        </w:rPr>
      </w:pPr>
      <w:r w:rsidRPr="00335ECB">
        <w:rPr>
          <w:rFonts w:cs="Times New Roman"/>
          <w:sz w:val="14"/>
          <w:szCs w:val="14"/>
        </w:rPr>
        <w:t>Constant &amp; 0.959$^{***}$ &amp; 0.936$^{***}$ &amp; 0.882$^{***}$ \\</w:t>
      </w:r>
    </w:p>
    <w:p w14:paraId="645E1924" w14:textId="4F5DBB02" w:rsidR="00335ECB" w:rsidRPr="00335ECB" w:rsidRDefault="00335ECB" w:rsidP="00335ECB">
      <w:pPr>
        <w:pStyle w:val="NoSpacing"/>
        <w:rPr>
          <w:rFonts w:cs="Times New Roman"/>
          <w:sz w:val="14"/>
          <w:szCs w:val="14"/>
        </w:rPr>
      </w:pPr>
      <w:r w:rsidRPr="00335ECB">
        <w:rPr>
          <w:rFonts w:cs="Times New Roman"/>
          <w:sz w:val="14"/>
          <w:szCs w:val="14"/>
        </w:rPr>
        <w:t>&amp; (0.201) &amp; (0.201) &amp; (0.202) \\</w:t>
      </w:r>
    </w:p>
    <w:p w14:paraId="08F75904" w14:textId="6D0B9823" w:rsidR="00335ECB" w:rsidRPr="00335ECB" w:rsidRDefault="00335ECB" w:rsidP="00335ECB">
      <w:pPr>
        <w:pStyle w:val="NoSpacing"/>
        <w:rPr>
          <w:rFonts w:cs="Times New Roman"/>
          <w:sz w:val="14"/>
          <w:szCs w:val="14"/>
        </w:rPr>
      </w:pPr>
      <w:r w:rsidRPr="00335ECB">
        <w:rPr>
          <w:rFonts w:cs="Times New Roman"/>
          <w:sz w:val="14"/>
          <w:szCs w:val="14"/>
        </w:rPr>
        <w:t>\hline \\[-1.8ex]</w:t>
      </w:r>
    </w:p>
    <w:p w14:paraId="141EA740" w14:textId="70D85ECA" w:rsidR="00335ECB" w:rsidRPr="00335ECB" w:rsidRDefault="00335ECB" w:rsidP="00335ECB">
      <w:pPr>
        <w:pStyle w:val="NoSpacing"/>
        <w:rPr>
          <w:rFonts w:cs="Times New Roman"/>
          <w:sz w:val="14"/>
          <w:szCs w:val="14"/>
        </w:rPr>
      </w:pPr>
      <w:r w:rsidRPr="00335ECB">
        <w:rPr>
          <w:rFonts w:cs="Times New Roman"/>
          <w:sz w:val="14"/>
          <w:szCs w:val="14"/>
        </w:rPr>
        <w:t>Country &amp; Yes &amp; Yes &amp; Yes \\</w:t>
      </w:r>
    </w:p>
    <w:p w14:paraId="77030FF3" w14:textId="37B950C3" w:rsidR="00335ECB" w:rsidRPr="00335ECB" w:rsidRDefault="00335ECB" w:rsidP="00335ECB">
      <w:pPr>
        <w:pStyle w:val="NoSpacing"/>
        <w:rPr>
          <w:rFonts w:cs="Times New Roman"/>
          <w:sz w:val="14"/>
          <w:szCs w:val="14"/>
        </w:rPr>
      </w:pPr>
      <w:r w:rsidRPr="00335ECB">
        <w:rPr>
          <w:rFonts w:cs="Times New Roman"/>
          <w:sz w:val="14"/>
          <w:szCs w:val="14"/>
        </w:rPr>
        <w:t>Year &amp; Yes &amp; Yes &amp; Yes \\</w:t>
      </w:r>
    </w:p>
    <w:p w14:paraId="4B87C4FA" w14:textId="5B5C1989" w:rsidR="00335ECB" w:rsidRPr="00335ECB" w:rsidRDefault="00335ECB" w:rsidP="00335ECB">
      <w:pPr>
        <w:pStyle w:val="NoSpacing"/>
        <w:rPr>
          <w:rFonts w:cs="Times New Roman"/>
          <w:sz w:val="14"/>
          <w:szCs w:val="14"/>
        </w:rPr>
      </w:pPr>
      <w:r w:rsidRPr="00335ECB">
        <w:rPr>
          <w:rFonts w:cs="Times New Roman"/>
          <w:sz w:val="14"/>
          <w:szCs w:val="14"/>
        </w:rPr>
        <w:t>Government Debt &amp; Yes &amp; Yes &amp; Yes \\</w:t>
      </w:r>
    </w:p>
    <w:p w14:paraId="329C93A5" w14:textId="774C8EA8" w:rsidR="00335ECB" w:rsidRPr="00335ECB" w:rsidRDefault="00335ECB" w:rsidP="00335ECB">
      <w:pPr>
        <w:pStyle w:val="NoSpacing"/>
        <w:rPr>
          <w:rFonts w:cs="Times New Roman"/>
          <w:sz w:val="14"/>
          <w:szCs w:val="14"/>
        </w:rPr>
      </w:pPr>
      <w:r w:rsidRPr="00335ECB">
        <w:rPr>
          <w:rFonts w:cs="Times New Roman"/>
          <w:sz w:val="14"/>
          <w:szCs w:val="14"/>
        </w:rPr>
        <w:t>Log Labor &amp; Yes &amp; Yes &amp; Yes \\</w:t>
      </w:r>
    </w:p>
    <w:p w14:paraId="3BD8FF34" w14:textId="4F09C6D4" w:rsidR="00335ECB" w:rsidRPr="00335ECB" w:rsidRDefault="00335ECB" w:rsidP="00335ECB">
      <w:pPr>
        <w:pStyle w:val="NoSpacing"/>
        <w:rPr>
          <w:rFonts w:cs="Times New Roman"/>
          <w:sz w:val="14"/>
          <w:szCs w:val="14"/>
        </w:rPr>
      </w:pPr>
      <w:r w:rsidRPr="00335ECB">
        <w:rPr>
          <w:rFonts w:cs="Times New Roman"/>
          <w:sz w:val="14"/>
          <w:szCs w:val="14"/>
        </w:rPr>
        <w:t>Part-time Employment &amp; Yes &amp; Yes &amp; Yes \\</w:t>
      </w:r>
    </w:p>
    <w:p w14:paraId="0EC334B4" w14:textId="451DA056" w:rsidR="00335ECB" w:rsidRPr="00335ECB" w:rsidRDefault="00335ECB" w:rsidP="00335ECB">
      <w:pPr>
        <w:pStyle w:val="NoSpacing"/>
        <w:rPr>
          <w:rFonts w:cs="Times New Roman"/>
          <w:sz w:val="14"/>
          <w:szCs w:val="14"/>
        </w:rPr>
      </w:pPr>
      <w:r w:rsidRPr="00335ECB">
        <w:rPr>
          <w:rFonts w:cs="Times New Roman"/>
          <w:sz w:val="14"/>
          <w:szCs w:val="14"/>
        </w:rPr>
        <w:t>Women Unemployment Rate &amp; Yes &amp; Yes &amp; Yes \\</w:t>
      </w:r>
    </w:p>
    <w:p w14:paraId="71C98374" w14:textId="1C9CDD9C" w:rsidR="00335ECB" w:rsidRPr="00335ECB" w:rsidRDefault="00335ECB" w:rsidP="00335ECB">
      <w:pPr>
        <w:pStyle w:val="NoSpacing"/>
        <w:rPr>
          <w:rFonts w:cs="Times New Roman"/>
          <w:sz w:val="14"/>
          <w:szCs w:val="14"/>
        </w:rPr>
      </w:pPr>
      <w:r w:rsidRPr="00335ECB">
        <w:rPr>
          <w:rFonts w:cs="Times New Roman"/>
          <w:sz w:val="14"/>
          <w:szCs w:val="14"/>
        </w:rPr>
        <w:t>Net Export &amp; No &amp; Yes &amp; Yes \\</w:t>
      </w:r>
    </w:p>
    <w:p w14:paraId="5AC4DD78" w14:textId="48EE5F65" w:rsidR="00335ECB" w:rsidRPr="00335ECB" w:rsidRDefault="00335ECB" w:rsidP="00335ECB">
      <w:pPr>
        <w:pStyle w:val="NoSpacing"/>
        <w:rPr>
          <w:rFonts w:cs="Times New Roman"/>
          <w:sz w:val="14"/>
          <w:szCs w:val="14"/>
        </w:rPr>
      </w:pPr>
      <w:r w:rsidRPr="00335ECB">
        <w:rPr>
          <w:rFonts w:cs="Times New Roman"/>
          <w:sz w:val="14"/>
          <w:szCs w:val="14"/>
        </w:rPr>
        <w:t>Net FDI &amp; No &amp; No &amp; Yes \\</w:t>
      </w:r>
    </w:p>
    <w:p w14:paraId="4D7126D3" w14:textId="7BCE8898" w:rsidR="00335ECB" w:rsidRPr="00335ECB" w:rsidRDefault="00335ECB" w:rsidP="00335ECB">
      <w:pPr>
        <w:pStyle w:val="NoSpacing"/>
        <w:rPr>
          <w:rFonts w:cs="Times New Roman"/>
          <w:sz w:val="14"/>
          <w:szCs w:val="14"/>
        </w:rPr>
      </w:pPr>
      <w:r w:rsidRPr="00335ECB">
        <w:rPr>
          <w:rFonts w:cs="Times New Roman"/>
          <w:sz w:val="14"/>
          <w:szCs w:val="14"/>
        </w:rPr>
        <w:t>Tax Contribution &amp; No &amp; No &amp; Yes \\</w:t>
      </w:r>
    </w:p>
    <w:p w14:paraId="08EB4B84" w14:textId="3D5B266E" w:rsidR="00335ECB" w:rsidRPr="00335ECB" w:rsidRDefault="00335ECB" w:rsidP="00335ECB">
      <w:pPr>
        <w:pStyle w:val="NoSpacing"/>
        <w:rPr>
          <w:rFonts w:cs="Times New Roman"/>
          <w:sz w:val="14"/>
          <w:szCs w:val="14"/>
        </w:rPr>
      </w:pPr>
      <w:r w:rsidRPr="00335ECB">
        <w:rPr>
          <w:rFonts w:cs="Times New Roman"/>
          <w:sz w:val="14"/>
          <w:szCs w:val="14"/>
        </w:rPr>
        <w:t>\hline \\[-1.8ex]</w:t>
      </w:r>
    </w:p>
    <w:p w14:paraId="45BCB8C8" w14:textId="6CDE237F" w:rsidR="00335ECB" w:rsidRPr="00335ECB" w:rsidRDefault="00335ECB" w:rsidP="00335ECB">
      <w:pPr>
        <w:pStyle w:val="NoSpacing"/>
        <w:rPr>
          <w:rFonts w:cs="Times New Roman"/>
          <w:sz w:val="14"/>
          <w:szCs w:val="14"/>
        </w:rPr>
      </w:pPr>
      <w:r w:rsidRPr="00335ECB">
        <w:rPr>
          <w:rFonts w:cs="Times New Roman"/>
          <w:sz w:val="14"/>
          <w:szCs w:val="14"/>
        </w:rPr>
        <w:t>Observations &amp; 726 &amp; 726 &amp; 726 \\</w:t>
      </w:r>
    </w:p>
    <w:p w14:paraId="7409A27A" w14:textId="2104C1AA" w:rsidR="00335ECB" w:rsidRPr="00335ECB" w:rsidRDefault="00335ECB" w:rsidP="00335ECB">
      <w:pPr>
        <w:pStyle w:val="NoSpacing"/>
        <w:rPr>
          <w:rFonts w:cs="Times New Roman"/>
          <w:sz w:val="14"/>
          <w:szCs w:val="14"/>
        </w:rPr>
      </w:pPr>
      <w:r w:rsidRPr="00335ECB">
        <w:rPr>
          <w:rFonts w:cs="Times New Roman"/>
          <w:sz w:val="14"/>
          <w:szCs w:val="14"/>
        </w:rPr>
        <w:t>R-squared &amp; 0.865 &amp; 0.865 &amp; 0.867 \\</w:t>
      </w:r>
    </w:p>
    <w:p w14:paraId="30AB09A6" w14:textId="4E865A6B" w:rsidR="00335ECB" w:rsidRPr="00335ECB" w:rsidRDefault="00335ECB" w:rsidP="00335ECB">
      <w:pPr>
        <w:pStyle w:val="NoSpacing"/>
        <w:rPr>
          <w:rFonts w:cs="Times New Roman"/>
          <w:sz w:val="14"/>
          <w:szCs w:val="14"/>
        </w:rPr>
      </w:pPr>
      <w:r w:rsidRPr="00335ECB">
        <w:rPr>
          <w:rFonts w:cs="Times New Roman"/>
          <w:sz w:val="14"/>
          <w:szCs w:val="14"/>
        </w:rPr>
        <w:t>Adjusted R-squared &amp; 0.851 &amp; 0.851 &amp; 0.853 \\</w:t>
      </w:r>
    </w:p>
    <w:p w14:paraId="2C9DEB5D" w14:textId="1347958A" w:rsidR="00335ECB" w:rsidRPr="00335ECB" w:rsidRDefault="00335ECB" w:rsidP="00335ECB">
      <w:pPr>
        <w:pStyle w:val="NoSpacing"/>
        <w:rPr>
          <w:rFonts w:cs="Times New Roman"/>
          <w:sz w:val="14"/>
          <w:szCs w:val="14"/>
        </w:rPr>
      </w:pPr>
      <w:r w:rsidRPr="00335ECB">
        <w:rPr>
          <w:rFonts w:cs="Times New Roman"/>
          <w:sz w:val="14"/>
          <w:szCs w:val="14"/>
        </w:rPr>
        <w:t>Residual Std. Error &amp; 0.016 &amp; 0.016 &amp; 0.016 \\</w:t>
      </w:r>
    </w:p>
    <w:p w14:paraId="415B2241" w14:textId="3C407A5E" w:rsidR="00335ECB" w:rsidRPr="00335ECB" w:rsidRDefault="00335ECB" w:rsidP="00335ECB">
      <w:pPr>
        <w:pStyle w:val="NoSpacing"/>
        <w:rPr>
          <w:rFonts w:cs="Times New Roman"/>
          <w:sz w:val="14"/>
          <w:szCs w:val="14"/>
        </w:rPr>
      </w:pPr>
      <w:r w:rsidRPr="00335ECB">
        <w:rPr>
          <w:rFonts w:cs="Times New Roman"/>
          <w:sz w:val="14"/>
          <w:szCs w:val="14"/>
        </w:rPr>
        <w:t>Observations &amp; 726 &amp; 726 &amp; 726 \\</w:t>
      </w:r>
    </w:p>
    <w:p w14:paraId="603DFECA" w14:textId="10A33A93" w:rsidR="00335ECB" w:rsidRPr="00335ECB" w:rsidRDefault="00335ECB" w:rsidP="00335ECB">
      <w:pPr>
        <w:pStyle w:val="NoSpacing"/>
        <w:rPr>
          <w:rFonts w:cs="Times New Roman"/>
          <w:sz w:val="14"/>
          <w:szCs w:val="14"/>
        </w:rPr>
      </w:pPr>
      <w:r w:rsidRPr="00335ECB">
        <w:rPr>
          <w:rFonts w:cs="Times New Roman"/>
          <w:sz w:val="14"/>
          <w:szCs w:val="14"/>
        </w:rPr>
        <w:t>R$^{2}$ &amp; 0.865 &amp; 0.865 &amp; 0.867 \\</w:t>
      </w:r>
    </w:p>
    <w:p w14:paraId="456469CB" w14:textId="610AC562" w:rsidR="00335ECB" w:rsidRPr="00335ECB" w:rsidRDefault="00335ECB" w:rsidP="00335ECB">
      <w:pPr>
        <w:pStyle w:val="NoSpacing"/>
        <w:rPr>
          <w:rFonts w:cs="Times New Roman"/>
          <w:sz w:val="14"/>
          <w:szCs w:val="14"/>
        </w:rPr>
      </w:pPr>
      <w:r w:rsidRPr="00335ECB">
        <w:rPr>
          <w:rFonts w:cs="Times New Roman"/>
          <w:sz w:val="14"/>
          <w:szCs w:val="14"/>
        </w:rPr>
        <w:t>Adjusted R$^{2}$ &amp; 0.851 &amp; 0.851 &amp; 0.853 \\</w:t>
      </w:r>
    </w:p>
    <w:p w14:paraId="383B657E" w14:textId="75433257" w:rsidR="00335ECB" w:rsidRPr="00335ECB" w:rsidRDefault="00335ECB" w:rsidP="00335ECB">
      <w:pPr>
        <w:pStyle w:val="NoSpacing"/>
        <w:rPr>
          <w:rFonts w:cs="Times New Roman"/>
          <w:sz w:val="14"/>
          <w:szCs w:val="14"/>
        </w:rPr>
      </w:pPr>
      <w:r w:rsidRPr="00335ECB">
        <w:rPr>
          <w:rFonts w:cs="Times New Roman"/>
          <w:sz w:val="14"/>
          <w:szCs w:val="14"/>
        </w:rPr>
        <w:t>Residual Std. Error &amp; 0.016 (df = 657) &amp; 0.016 (df = 656) &amp; 0.016 (df = 654) \\</w:t>
      </w:r>
    </w:p>
    <w:p w14:paraId="59B156F5" w14:textId="2DEF2978" w:rsidR="00335ECB" w:rsidRPr="00335ECB" w:rsidRDefault="00335ECB" w:rsidP="00335ECB">
      <w:pPr>
        <w:pStyle w:val="NoSpacing"/>
        <w:rPr>
          <w:rFonts w:cs="Times New Roman"/>
          <w:sz w:val="14"/>
          <w:szCs w:val="14"/>
        </w:rPr>
      </w:pPr>
      <w:r w:rsidRPr="00335ECB">
        <w:rPr>
          <w:rFonts w:cs="Times New Roman"/>
          <w:sz w:val="14"/>
          <w:szCs w:val="14"/>
        </w:rPr>
        <w:t>\hline</w:t>
      </w:r>
    </w:p>
    <w:p w14:paraId="0361DA16" w14:textId="4B16AFCB" w:rsidR="00335ECB" w:rsidRPr="00335ECB" w:rsidRDefault="00335ECB" w:rsidP="00335ECB">
      <w:pPr>
        <w:pStyle w:val="NoSpacing"/>
        <w:rPr>
          <w:rFonts w:cs="Times New Roman"/>
          <w:sz w:val="14"/>
          <w:szCs w:val="14"/>
        </w:rPr>
      </w:pPr>
      <w:r w:rsidRPr="00335ECB">
        <w:rPr>
          <w:rFonts w:cs="Times New Roman"/>
          <w:sz w:val="14"/>
          <w:szCs w:val="14"/>
        </w:rPr>
        <w:t>\hline \\[-1.8ex]</w:t>
      </w:r>
    </w:p>
    <w:p w14:paraId="5BF832BE" w14:textId="4062D85C" w:rsidR="00335ECB" w:rsidRPr="00335ECB" w:rsidRDefault="00335ECB" w:rsidP="00335ECB">
      <w:pPr>
        <w:pStyle w:val="NoSpacing"/>
        <w:rPr>
          <w:rFonts w:cs="Times New Roman"/>
          <w:sz w:val="14"/>
          <w:szCs w:val="14"/>
        </w:rPr>
      </w:pPr>
      <w:r w:rsidRPr="00335ECB">
        <w:rPr>
          <w:rFonts w:cs="Times New Roman"/>
          <w:sz w:val="14"/>
          <w:szCs w:val="14"/>
        </w:rPr>
        <w:t>\textit{Note:}  &amp; \multicolumn{3}{r}{$^{*}$p$&lt;$0.1; $^{**}$p$&lt;$0.05; $^{***}$p$&lt;$0.01} \\</w:t>
      </w:r>
    </w:p>
    <w:p w14:paraId="5BBF7811" w14:textId="2B13248E" w:rsidR="00335ECB" w:rsidRPr="00335ECB" w:rsidRDefault="00335ECB" w:rsidP="00335ECB">
      <w:pPr>
        <w:pStyle w:val="NoSpacing"/>
        <w:rPr>
          <w:rFonts w:cs="Times New Roman"/>
          <w:sz w:val="14"/>
          <w:szCs w:val="14"/>
        </w:rPr>
      </w:pPr>
      <w:r w:rsidRPr="00335ECB">
        <w:rPr>
          <w:rFonts w:cs="Times New Roman"/>
          <w:sz w:val="14"/>
          <w:szCs w:val="14"/>
        </w:rPr>
        <w:t>\end{tabular}</w:t>
      </w:r>
    </w:p>
    <w:p w14:paraId="5B6E043C" w14:textId="186E1AFA" w:rsidR="00335ECB" w:rsidRPr="00335ECB" w:rsidRDefault="00335ECB" w:rsidP="00335ECB">
      <w:pPr>
        <w:pStyle w:val="NoSpacing"/>
        <w:rPr>
          <w:rFonts w:cs="Times New Roman"/>
          <w:sz w:val="14"/>
          <w:szCs w:val="14"/>
        </w:rPr>
      </w:pPr>
      <w:r w:rsidRPr="00335ECB">
        <w:rPr>
          <w:rFonts w:cs="Times New Roman"/>
          <w:sz w:val="14"/>
          <w:szCs w:val="14"/>
        </w:rPr>
        <w:t>\end{table}</w:t>
      </w:r>
    </w:p>
    <w:p w14:paraId="7EE2658D" w14:textId="77777777" w:rsidR="00335ECB" w:rsidRDefault="00335ECB" w:rsidP="00FA1691">
      <w:pPr>
        <w:rPr>
          <w:rFonts w:eastAsiaTheme="minorHAnsi"/>
          <w:lang w:val="en-GB" w:eastAsia="en-US"/>
        </w:rPr>
      </w:pPr>
    </w:p>
    <w:p w14:paraId="51E6FED6" w14:textId="77777777" w:rsidR="00FA1691" w:rsidRDefault="00FA1691" w:rsidP="00FA1691">
      <w:pPr>
        <w:jc w:val="center"/>
        <w:rPr>
          <w:rFonts w:eastAsiaTheme="minorHAnsi"/>
          <w:lang w:val="en-GB" w:eastAsia="en-US"/>
        </w:rPr>
      </w:pPr>
      <w:r>
        <w:rPr>
          <w:rFonts w:eastAsiaTheme="minorHAnsi"/>
          <w:noProof/>
          <w:lang w:val="en-GB" w:eastAsia="en-US"/>
          <w14:ligatures w14:val="standardContextual"/>
        </w:rPr>
        <w:lastRenderedPageBreak/>
        <w:drawing>
          <wp:inline distT="0" distB="0" distL="0" distR="0" wp14:anchorId="7A5CBC12" wp14:editId="52A80A5B">
            <wp:extent cx="4448319" cy="6722347"/>
            <wp:effectExtent l="0" t="0" r="0" b="0"/>
            <wp:docPr id="1495694118" name="Picture 13"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4118" name="Picture 13" descr="A table of numbers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54627" cy="6731880"/>
                    </a:xfrm>
                    <a:prstGeom prst="rect">
                      <a:avLst/>
                    </a:prstGeom>
                  </pic:spPr>
                </pic:pic>
              </a:graphicData>
            </a:graphic>
          </wp:inline>
        </w:drawing>
      </w:r>
    </w:p>
    <w:p w14:paraId="25CB346E" w14:textId="77777777" w:rsidR="00FA1691" w:rsidRDefault="00FA1691" w:rsidP="00FA1691">
      <w:pPr>
        <w:rPr>
          <w:rFonts w:eastAsiaTheme="minorHAnsi"/>
          <w:lang w:val="en-GB" w:eastAsia="en-US"/>
        </w:rPr>
      </w:pPr>
    </w:p>
    <w:p w14:paraId="7FA72DE2" w14:textId="77777777" w:rsidR="00FA1691" w:rsidRDefault="00FA1691" w:rsidP="00FA1691">
      <w:pPr>
        <w:rPr>
          <w:rFonts w:eastAsiaTheme="minorHAnsi"/>
          <w:lang w:val="en-GB" w:eastAsia="en-US"/>
        </w:rPr>
      </w:pPr>
    </w:p>
    <w:p w14:paraId="294D9778" w14:textId="036790AB" w:rsidR="00FA1691" w:rsidRPr="00D73C4B" w:rsidRDefault="00FA1691" w:rsidP="00D73C4B">
      <w:pPr>
        <w:rPr>
          <w:rFonts w:eastAsiaTheme="minorHAnsi"/>
          <w:lang w:val="en-GB" w:eastAsia="en-US"/>
        </w:rPr>
      </w:pPr>
      <w:r>
        <w:rPr>
          <w:rFonts w:eastAsiaTheme="minorHAnsi"/>
          <w:lang w:val="en-GB" w:eastAsia="en-US"/>
        </w:rPr>
        <w:t xml:space="preserve">In summary, the fixed effects regression model with IV, incorporating 'demo' as the instrumental variable, provides a robust framework for understanding the causal impact of labour market variables on income inequality. The findings highlight the crucial role of </w:t>
      </w:r>
      <w:r>
        <w:rPr>
          <w:rFonts w:eastAsiaTheme="minorHAnsi"/>
          <w:lang w:val="en-GB" w:eastAsia="en-US"/>
        </w:rPr>
        <w:lastRenderedPageBreak/>
        <w:t>collective bargaining and trade union density in reducing income disparities, supported by the significant and negative coefficients of key variables across different model specifications.</w:t>
      </w:r>
    </w:p>
    <w:p w14:paraId="659DC34A" w14:textId="085633B3" w:rsidR="00FA1691" w:rsidRDefault="00FA1691" w:rsidP="008A594A">
      <w:pPr>
        <w:pStyle w:val="Heading2"/>
      </w:pPr>
      <w:r>
        <w:t>---------------------------------------------------------------------------</w:t>
      </w:r>
    </w:p>
    <w:p w14:paraId="44F894B3" w14:textId="77777777" w:rsidR="00FA1691" w:rsidRDefault="00FA1691" w:rsidP="008A594A">
      <w:pPr>
        <w:pStyle w:val="Heading2"/>
      </w:pPr>
    </w:p>
    <w:p w14:paraId="0D6A585B" w14:textId="7059ED7C" w:rsidR="008A594A" w:rsidRDefault="008A594A" w:rsidP="008A594A">
      <w:pPr>
        <w:pStyle w:val="Heading2"/>
      </w:pPr>
      <w:r>
        <w:t>Exploring Macro–Level Influences</w:t>
      </w:r>
    </w:p>
    <w:p w14:paraId="3E273BCB" w14:textId="77777777" w:rsidR="008A594A" w:rsidRPr="008A594A" w:rsidRDefault="008A594A" w:rsidP="008A594A">
      <w:pPr>
        <w:rPr>
          <w:lang w:eastAsia="en-US"/>
        </w:rPr>
      </w:pPr>
    </w:p>
    <w:p w14:paraId="796173AF" w14:textId="00EAFCC0" w:rsidR="0087029C" w:rsidRDefault="00082EAC" w:rsidP="00D378B6">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 xml:space="preserve">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t>
      </w:r>
      <w:r w:rsidR="00D73C4B">
        <w:t>production</w:t>
      </w:r>
      <w:r w:rsidR="0021146B" w:rsidRPr="0021146B">
        <w:t xml:space="preserve">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70B64D32" w14:textId="77777777" w:rsidR="0087029C" w:rsidRDefault="0087029C" w:rsidP="00605CFF"/>
    <w:p w14:paraId="58244533" w14:textId="77777777" w:rsidR="00D73C4B" w:rsidRDefault="00D73C4B" w:rsidP="00605CFF"/>
    <w:p w14:paraId="77352692" w14:textId="77777777" w:rsidR="00D73C4B" w:rsidRDefault="00D73C4B" w:rsidP="00605CFF"/>
    <w:p w14:paraId="5195215B" w14:textId="77777777" w:rsidR="00D73C4B" w:rsidRDefault="00D73C4B" w:rsidP="00605CFF"/>
    <w:p w14:paraId="2A7349AA" w14:textId="77777777" w:rsidR="00D73C4B" w:rsidRDefault="00D73C4B" w:rsidP="00605CFF"/>
    <w:p w14:paraId="2704650A" w14:textId="77777777" w:rsidR="00D73C4B" w:rsidRDefault="00D73C4B" w:rsidP="00D73C4B">
      <w:pPr>
        <w:pStyle w:val="Heading2"/>
      </w:pPr>
      <w:r>
        <w:lastRenderedPageBreak/>
        <w:t>---------------------------------------------------------------------------</w:t>
      </w:r>
    </w:p>
    <w:p w14:paraId="7E9B1096" w14:textId="65B1BA09"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62B0B1ED" w14:textId="77777777" w:rsidR="00D73C4B" w:rsidRDefault="00D73C4B"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56D1E1AF" w14:textId="6E4C70DF" w:rsidR="00D73C4B" w:rsidRDefault="00D73C4B" w:rsidP="00605CFF">
      <w:r w:rsidRPr="00D73C4B">
        <w:t xml:space="preserve">While the temptation may exist to solely credit unions for the rise in wages when both GDP and wages are increasing concurrently, it's important to recognize that wage growth can also be fueled by overall economic expansion, irrespective of union involvement. Failing to </w:t>
      </w:r>
      <w:r w:rsidRPr="00D73C4B">
        <w:lastRenderedPageBreak/>
        <w:t>consider wage growth could lead to an exaggerated perception of unions' impact on increasing wages, potentially overlooking the broader influence of GDP in driving income growth across various sectors.</w:t>
      </w:r>
    </w:p>
    <w:p w14:paraId="7977D575" w14:textId="77777777" w:rsidR="00903757" w:rsidRDefault="00903757" w:rsidP="00605CFF"/>
    <w:p w14:paraId="349F2EEA" w14:textId="6699EB5D" w:rsidR="00903757" w:rsidRDefault="00903757" w:rsidP="00605CFF">
      <w:r w:rsidRPr="00903757">
        <w:t>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 xml:space="preserve">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w:t>
      </w:r>
      <w:r w:rsidRPr="00C76C36">
        <w:lastRenderedPageBreak/>
        <w:t>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47D83854" w:rsidR="00887C08" w:rsidRDefault="00643F01" w:rsidP="00605CFF">
      <w:r>
        <w:t xml:space="preserve">In the intricate web of factors that influence </w:t>
      </w:r>
      <w:r w:rsidR="00082EAC">
        <w:t>labour</w:t>
      </w:r>
      <w:r>
        <w:t xml:space="preserve"> unions and their efficacy, the concept of Democratic Governance emerges as a pivotal variable.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4"/>
      </w:r>
      <w:r w:rsidR="00887C08">
        <w:t>.</w:t>
      </w:r>
    </w:p>
    <w:p w14:paraId="5DC9913A" w14:textId="61618669"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5D5952">
        <w:instrText xml:space="preserve"> ADDIN ZOTERO_ITEM CSL_CITATION {"citationID":"fvHr3WDf","properties":{"formattedCitation":"(Bastian Herre et al. 2022)","plainCitation":"(Bastian Herre et al. 2022)","noteIndex":0},"citationItems":[{"id":246,"uris":["http://zotero.org/users/11278442/items/HETCTHHL"],"itemData":{"id":246,"type":"dataset","archive":"V-DEM","title":"Civil society participation Index","URL":"https://ourworldindata.org/grapher/civil-society-participation-index","author":[{"literal":"Bastian Herre"},{"literal":"Lucas Rodés-Guirao"},{"literal":"Max Roser"},{"literal":"Esteban Ortiz-Ospina"}],"accessed":{"date-parts":[["2024",4,3]]},"issued":{"date-parts":[["2022"]]}}}],"schema":"https://github.com/citation-style-language/schema/raw/master/csl-citation.json"} </w:instrText>
      </w:r>
      <w:r w:rsidR="00C26604">
        <w:fldChar w:fldCharType="separate"/>
      </w:r>
      <w:r w:rsidR="005D5952">
        <w:rPr>
          <w:lang w:val="en-GB"/>
        </w:rPr>
        <w:t>(Bastian Herre et al. 2022)</w:t>
      </w:r>
      <w:r w:rsidR="00C26604">
        <w:fldChar w:fldCharType="end"/>
      </w:r>
      <w:r>
        <w:t>.</w:t>
      </w:r>
      <w:r w:rsidR="00887C08">
        <w:t xml:space="preserve"> </w:t>
      </w:r>
      <w:r w:rsidR="00887C08" w:rsidRPr="00887C08">
        <w:t xml:space="preserve">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w:t>
      </w:r>
      <w:r w:rsidR="00887C08" w:rsidRPr="00887C08">
        <w:lastRenderedPageBreak/>
        <w:t>on diverse governmental issues and whether these concerns are attentively considered by various institutional bodies.</w:t>
      </w:r>
    </w:p>
    <w:p w14:paraId="6C261614" w14:textId="77777777" w:rsidR="00313623" w:rsidRDefault="00313623" w:rsidP="00605CFF">
      <w:r w:rsidRPr="00313623">
        <w:t>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w:t>
      </w:r>
      <w:r>
        <w:lastRenderedPageBreak/>
        <w:t xml:space="preserve">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0B9CEB0D" w14:textId="77777777" w:rsidR="00D378B6" w:rsidRDefault="00D378B6" w:rsidP="00605CFF"/>
    <w:p w14:paraId="0FAE5865" w14:textId="190DA1C8" w:rsidR="00EF7B8E" w:rsidRDefault="00D378B6" w:rsidP="00EF7B8E">
      <w:r>
        <w:rPr>
          <w:noProof/>
          <w14:ligatures w14:val="standardContextual"/>
        </w:rPr>
        <w:drawing>
          <wp:inline distT="0" distB="0" distL="0" distR="0" wp14:anchorId="1533CDE1" wp14:editId="38C3D5E1">
            <wp:extent cx="5731510" cy="4425950"/>
            <wp:effectExtent l="0" t="0" r="0" b="6350"/>
            <wp:docPr id="1138871084" name="Picture 7"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71084" name="Picture 7" descr="A diagram of a social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3B042264" w14:textId="0BFADA40" w:rsidR="00EF7B8E" w:rsidRDefault="00EF7B8E" w:rsidP="00EF7B8E"/>
    <w:p w14:paraId="31937BE7" w14:textId="02051EAB" w:rsidR="00EF7B8E" w:rsidRDefault="00EF7B8E" w:rsidP="00EF7B8E"/>
    <w:p w14:paraId="1976401E" w14:textId="77777777" w:rsidR="00EF7B8E" w:rsidRPr="00EF7B8E" w:rsidRDefault="00EF7B8E" w:rsidP="00EF7B8E"/>
    <w:p w14:paraId="7F871761" w14:textId="77777777" w:rsidR="00167F48" w:rsidRDefault="00167F48" w:rsidP="002866C4">
      <w:pPr>
        <w:pStyle w:val="Heading1"/>
      </w:pPr>
      <w:r>
        <w:lastRenderedPageBreak/>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69386F70" w14:textId="77777777" w:rsidR="0074482A" w:rsidRDefault="0074482A" w:rsidP="0074482A">
      <w:pPr>
        <w:pStyle w:val="Heading3"/>
      </w:pPr>
      <w:r w:rsidRPr="004B27B1">
        <w:t>Heterogeneity of Effects: Who Benefits Most?</w:t>
      </w:r>
    </w:p>
    <w:p w14:paraId="35181513" w14:textId="77777777" w:rsidR="0074482A" w:rsidRPr="004B27B1" w:rsidRDefault="0074482A" w:rsidP="0074482A">
      <w:pPr>
        <w:rPr>
          <w:b/>
          <w:bCs/>
          <w:sz w:val="27"/>
          <w:szCs w:val="27"/>
        </w:rPr>
      </w:pPr>
    </w:p>
    <w:p w14:paraId="77ED3744" w14:textId="77777777" w:rsidR="0074482A" w:rsidRDefault="0074482A" w:rsidP="0074482A">
      <w:r w:rsidRPr="00B42766">
        <w:t xml:space="preserve">The impact of collective bargaining on income inequality varies significantly depending on worker characteristics and industry-specific factors. Low-skilled workers often gain more substantial wage increases through collective bargaining, as unions help elevate their wages and improve working conditions. In contrast, highly skilled workers, who already have greater individual bargaining power, might see relatively smaller wage gains but still benefit from improved job security and additional negotiated benefits. Women may particularly benefit from collective bargaining efforts aimed at reducing gender pay gaps and promoting workplace equality. Younger workers, entering the labor market with less experience, also see significant advantages from union representation, which helps secure fair wages and advancement </w:t>
      </w:r>
      <w:r w:rsidRPr="00B42766">
        <w:lastRenderedPageBreak/>
        <w:t>opportunities. Industry-specific effects are evident, with manufacturing sectors, having higher union presence, experiencing more uniform wage structures and reduced income inequality compared to the more fragmented service sector. The public sector, with its higher unionization rates, tends to have more equitable pay scales and comprehensive benefits, while the impact in the private sector varies widely. Geographic variation further influences the effectiveness of collective bargaining, with urban areas focusing on aggressive wage negotiations due to higher living costs, and rural areas emphasizing job security and benefits. Subgroup analyses are essential to gain a nuanced understanding of how collective bargaining shapes income distribution, informing targeted policies that enhance its positive effects across different workforce segments, ensuring widespread and equitable benefits.</w:t>
      </w:r>
    </w:p>
    <w:p w14:paraId="626E22D6" w14:textId="77777777" w:rsidR="0074482A" w:rsidRPr="004B27B1" w:rsidRDefault="0074482A" w:rsidP="0074482A"/>
    <w:p w14:paraId="363B64C1" w14:textId="77777777" w:rsidR="0074482A" w:rsidRDefault="0074482A" w:rsidP="0074482A">
      <w:pPr>
        <w:pStyle w:val="Heading3"/>
      </w:pPr>
      <w:r w:rsidRPr="004B27B1">
        <w:t>Complementary Mechanisms: Beyond Wages</w:t>
      </w:r>
    </w:p>
    <w:p w14:paraId="1F950101" w14:textId="77777777" w:rsidR="0074482A" w:rsidRPr="004B27B1" w:rsidRDefault="0074482A" w:rsidP="0074482A">
      <w:pPr>
        <w:rPr>
          <w:lang w:eastAsia="en-US"/>
        </w:rPr>
      </w:pPr>
    </w:p>
    <w:p w14:paraId="32544261" w14:textId="77777777" w:rsidR="0074482A" w:rsidRDefault="0074482A" w:rsidP="0074482A">
      <w:r w:rsidRPr="0079172D">
        <w:t xml:space="preserve">Beyond wage adjustments, collective bargaining influences income inequality through several complementary mechanisms. Unions often advocate for policies that enhance job security, ensuring that workers have stable employment and are less susceptible to income fluctuations. They also push for access to training programs, which can improve workers' skills and employability, leading to better career opportunities and higher long-term earnings. Additionally, unions play a crucial role in strengthening social safety nets, such as healthcare benefits, retirement plans, and unemployment insurance, which provide financial security and reduce the risk of falling into poverty during economic downturns or personal crises. These additional mechanisms help to narrow income disparities beyond the direct effect on wages. By addressing various aspects of workers' economic well-being, unions contribute to a more holistic approach to reducing income inequality. Future research could delve deeper into the relative importance of these complementary mechanisms, examining how each contributes to </w:t>
      </w:r>
      <w:r w:rsidRPr="0079172D">
        <w:lastRenderedPageBreak/>
        <w:t>a more equitable income distribution and identifying which policies are most effective in different contexts. This comprehensive understanding could inform more targeted and effective strategies for promoting income equality through collective bargaining and other labor market interventions.</w:t>
      </w:r>
    </w:p>
    <w:p w14:paraId="658353DC" w14:textId="77777777" w:rsidR="0074482A" w:rsidRPr="004B27B1" w:rsidRDefault="0074482A" w:rsidP="0074482A"/>
    <w:p w14:paraId="7A3509D7" w14:textId="77777777" w:rsidR="0074482A" w:rsidRPr="004B27B1" w:rsidRDefault="0074482A" w:rsidP="0074482A">
      <w:pPr>
        <w:pStyle w:val="Heading3"/>
      </w:pPr>
      <w:r w:rsidRPr="004B27B1">
        <w:t>Dynamic Effects: A Long-Term Perspective</w:t>
      </w:r>
    </w:p>
    <w:p w14:paraId="5FC78506" w14:textId="77777777" w:rsidR="0074482A" w:rsidRDefault="0074482A" w:rsidP="0074482A"/>
    <w:p w14:paraId="04472434" w14:textId="77777777" w:rsidR="0074482A" w:rsidRDefault="0074482A" w:rsidP="0074482A">
      <w:r w:rsidRPr="007159FD">
        <w:t xml:space="preserve">The relationship between collective bargaining, union density, and income inequality is dynamic, reflecting broader economic and institutional changes over time. The significant decline in unionization rates in many countries over recent decades has likely exacerbated income disparities as collective bargaining power weakened. Analyzing longitudinal data allows for a deeper understanding of how changes in collective bargaining strength or union density impact income inequality. This approach provides insights into the long-term dynamics of these relationships, highlighting how institutional changes in the labor market influence income distribution over time </w:t>
      </w:r>
      <w:r>
        <w:fldChar w:fldCharType="begin"/>
      </w:r>
      <w:r>
        <w:instrText xml:space="preserve"> ADDIN ZOTERO_ITEM CSL_CITATION {"citationID":"AidVt3nL","properties":{"formattedCitation":"(David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fldChar w:fldCharType="separate"/>
      </w:r>
      <w:r>
        <w:rPr>
          <w:noProof/>
        </w:rPr>
        <w:t>(David Card 2001)</w:t>
      </w:r>
      <w:r>
        <w:fldChar w:fldCharType="end"/>
      </w:r>
      <w:r>
        <w:t xml:space="preserve"> </w:t>
      </w:r>
      <w:r>
        <w:fldChar w:fldCharType="begin"/>
      </w:r>
      <w:r>
        <w:instrText xml:space="preserve"> ADDIN ZOTERO_ITEM CSL_CITATION {"citationID":"g2OoFu9c","properties":{"formattedCitation":"(Hyman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fldChar w:fldCharType="separate"/>
      </w:r>
      <w:r>
        <w:rPr>
          <w:noProof/>
        </w:rPr>
        <w:t>(Hyman 2007)</w:t>
      </w:r>
      <w:r>
        <w:fldChar w:fldCharType="end"/>
      </w:r>
      <w:r>
        <w:t>.</w:t>
      </w:r>
      <w:r w:rsidRPr="007159FD">
        <w:t xml:space="preserve"> </w:t>
      </w:r>
    </w:p>
    <w:p w14:paraId="49164D75" w14:textId="4031ED5F" w:rsidR="0017753D" w:rsidRDefault="0074482A" w:rsidP="00605CFF">
      <w:r w:rsidRPr="007159FD">
        <w:t xml:space="preserve">By investigating heterogeneity, complementary mechanisms, and dynamic effects, we can transcend the limitations of an average treatment effect and gain a richer understanding of the multifaceted ways in which collective bargaining shapes income inequality. For instance, unionization might have a more pronounced impact on low-skilled workers who benefit more substantially from collective bargaining agreements, as opposed to highly skilled workers who can individually negotiate higher wages. Moreover, the effects of collective bargaining might vary across industries, with stronger impacts in sectors with high union presence, such as manufacturing, compared to service sectors with lower unionization rates </w:t>
      </w:r>
      <w:r>
        <w:fldChar w:fldCharType="begin"/>
      </w:r>
      <w:r>
        <w:instrText xml:space="preserve"> ADDIN ZOTERO_ITEM CSL_CITATION {"citationID":"mrSKZr3x","properties":{"formattedCitation":"(David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fldChar w:fldCharType="separate"/>
      </w:r>
      <w:r>
        <w:rPr>
          <w:noProof/>
        </w:rPr>
        <w:t>(David Card 2001)</w:t>
      </w:r>
      <w:r>
        <w:fldChar w:fldCharType="end"/>
      </w:r>
      <w:r w:rsidRPr="007159FD">
        <w:t xml:space="preserve">. Additionally, while wage adjustments are a central mechanism through which collective bargaining influences income inequality, unions also promote income equality by advocating </w:t>
      </w:r>
      <w:r w:rsidRPr="007159FD">
        <w:lastRenderedPageBreak/>
        <w:t>for policies that enhance job security, provide access to training programs, and strengthen social safety nets. These complementary mechanisms can significantly reduce income disparities beyond the direct effect on wages. Future research should explore the relative importance of these mechanisms in achieving a more equitable income distribution</w:t>
      </w:r>
      <w:r>
        <w:t xml:space="preserve"> </w:t>
      </w:r>
      <w:r>
        <w:fldChar w:fldCharType="begin"/>
      </w:r>
      <w:r>
        <w:instrText xml:space="preserve"> ADDIN ZOTERO_ITEM CSL_CITATION {"citationID":"SUIO0WCL","properties":{"formattedCitation":"(Hyman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fldChar w:fldCharType="separate"/>
      </w:r>
      <w:r>
        <w:rPr>
          <w:noProof/>
        </w:rPr>
        <w:t>(Hyman 2007)</w:t>
      </w:r>
      <w:r>
        <w:fldChar w:fldCharType="end"/>
      </w:r>
      <w:r>
        <w:t>.</w:t>
      </w:r>
    </w:p>
    <w:p w14:paraId="499F6997" w14:textId="77777777" w:rsidR="00FA1691" w:rsidRDefault="00FA1691" w:rsidP="00FA1691">
      <w:pPr>
        <w:pStyle w:val="Heading3"/>
        <w:rPr>
          <w:shd w:val="clear" w:color="auto" w:fill="FFFFFF"/>
        </w:rPr>
      </w:pPr>
      <w:r>
        <w:rPr>
          <w:shd w:val="clear" w:color="auto" w:fill="FFFFFF"/>
        </w:rPr>
        <w:t>Assessing the Internal Validity and Potential Further Research</w:t>
      </w:r>
    </w:p>
    <w:p w14:paraId="54728D31" w14:textId="01C49602" w:rsidR="00FA1691" w:rsidRPr="00FA1691" w:rsidRDefault="00FA1691" w:rsidP="00605CFF">
      <w:pPr>
        <w:rPr>
          <w:rFonts w:eastAsiaTheme="minorHAnsi"/>
          <w:lang w:val="en-GB" w:eastAsia="en-US"/>
        </w:rPr>
      </w:pPr>
      <w:r>
        <w:rPr>
          <w:rFonts w:eastAsiaTheme="minorHAnsi"/>
          <w:lang w:val="en-GB" w:eastAsia="en-US"/>
        </w:rPr>
        <w:t>The internal validity of this analysis appears to be relatively strong, given the use of a fixed effects regression model with instrumental variables (IV) to address endogeneity concerns. By isolating the causal effect of key labour market variables on income inequality, the study employs rigorous statistical techniques to ensure the robustness of its findings. However, further research could enhance the internal validity by conducting sensitivity analyses to test the robustness of the results to alternative model specifications and instrumental variables. Additionally, employing alternative econometric approaches, such as propensity score matching or difference-in-differences analysis, could provide complementary insights into the causal relationships under investigation. Moreover, exploring potential mechanisms and mediators underlying the observed associations, such as the impact of specific labour market policies or institutional factors, could deepen our understanding of the dynamics driving income inequality. By addressing these avenues for further research, future studies can strengthen the internal validity of the analysis and provide more nuanced insights into the complex interplay between labour market dynamics and income distribution.</w:t>
      </w:r>
    </w:p>
    <w:p w14:paraId="463889A5" w14:textId="6F753B14" w:rsidR="00F003D2" w:rsidRDefault="00F003D2" w:rsidP="002866C4">
      <w:pPr>
        <w:pStyle w:val="Heading1"/>
      </w:pPr>
      <w:r>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w:t>
      </w:r>
      <w:r>
        <w:lastRenderedPageBreak/>
        <w:t xml:space="preserve">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7F6F25FF" w14:textId="77777777" w:rsidR="0099522B" w:rsidRDefault="0099522B" w:rsidP="00605CFF"/>
    <w:p w14:paraId="5E6D1FBF" w14:textId="6E0A161E" w:rsidR="0099522B" w:rsidRPr="0099522B" w:rsidRDefault="0099522B" w:rsidP="0099522B">
      <w:pPr>
        <w:rPr>
          <w:lang w:eastAsia="en-US"/>
        </w:rPr>
      </w:pPr>
    </w:p>
    <w:sectPr w:rsidR="0099522B" w:rsidRPr="009952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6C684" w14:textId="77777777" w:rsidR="008B74C0" w:rsidRDefault="008B74C0" w:rsidP="00605CFF">
      <w:r>
        <w:separator/>
      </w:r>
    </w:p>
  </w:endnote>
  <w:endnote w:type="continuationSeparator" w:id="0">
    <w:p w14:paraId="062F348F" w14:textId="77777777" w:rsidR="008B74C0" w:rsidRDefault="008B74C0"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28DC4" w14:textId="77777777" w:rsidR="008B74C0" w:rsidRDefault="008B74C0" w:rsidP="00605CFF">
      <w:r>
        <w:separator/>
      </w:r>
    </w:p>
  </w:footnote>
  <w:footnote w:type="continuationSeparator" w:id="0">
    <w:p w14:paraId="1C7D6653" w14:textId="77777777" w:rsidR="008B74C0" w:rsidRDefault="008B74C0" w:rsidP="00605CFF">
      <w:r>
        <w:continuationSeparator/>
      </w:r>
    </w:p>
  </w:footnote>
  <w:footnote w:id="1">
    <w:p w14:paraId="22BD3268" w14:textId="1FBF2549" w:rsidR="00B65834" w:rsidRPr="00B65834" w:rsidRDefault="00B65834">
      <w:pPr>
        <w:pStyle w:val="FootnoteText"/>
      </w:pPr>
      <w:r>
        <w:rPr>
          <w:rStyle w:val="FootnoteReference"/>
        </w:rPr>
        <w:footnoteRef/>
      </w:r>
      <w:r>
        <w:t xml:space="preserve"> </w:t>
      </w:r>
      <w:r w:rsidRPr="00B65834">
        <w:t>Focusing on Austria, Belgium, Czechia, Denmark, Estonia, Finland, France, Germany, Greece, Hungary, Iceland, Ireland, Italy, Latvia, Lithuania, Luxembourg, Netherlands, Norway, Poland, Portugal, Slovak Republic, Slovenia, Spain, Sweden, Switzerland, and the United Kingdom.</w:t>
      </w:r>
    </w:p>
  </w:footnote>
  <w:footnote w:id="2">
    <w:p w14:paraId="4843E75B" w14:textId="1DDED1ED" w:rsidR="00164E9C" w:rsidRPr="00164E9C" w:rsidRDefault="00164E9C">
      <w:pPr>
        <w:pStyle w:val="FootnoteText"/>
      </w:pPr>
      <w:r>
        <w:rPr>
          <w:rStyle w:val="FootnoteReference"/>
        </w:rPr>
        <w:footnoteRef/>
      </w:r>
      <w:r>
        <w:t xml:space="preserve"> Datasets can be retrieved at </w:t>
      </w:r>
      <w:hyperlink r:id="rId1" w:history="1">
        <w:r w:rsidRPr="008F2F88">
          <w:rPr>
            <w:rStyle w:val="Hyperlink"/>
          </w:rPr>
          <w:t>https://stats.oecd.org/#</w:t>
        </w:r>
      </w:hyperlink>
      <w:r>
        <w:t xml:space="preserve"> ; and </w:t>
      </w:r>
      <w:hyperlink r:id="rId2" w:history="1">
        <w:r w:rsidRPr="008F2F88">
          <w:rPr>
            <w:rStyle w:val="Hyperlink"/>
          </w:rPr>
          <w:t>https://data.worldbank.org/</w:t>
        </w:r>
      </w:hyperlink>
      <w:r>
        <w:t xml:space="preserve"> .</w:t>
      </w:r>
    </w:p>
  </w:footnote>
  <w:footnote w:id="3">
    <w:p w14:paraId="3FEA05D7" w14:textId="497E1B95" w:rsidR="00164E9C" w:rsidRPr="00164E9C" w:rsidRDefault="00164E9C">
      <w:pPr>
        <w:pStyle w:val="FootnoteText"/>
      </w:pPr>
      <w:r>
        <w:rPr>
          <w:rStyle w:val="FootnoteReference"/>
        </w:rPr>
        <w:footnoteRef/>
      </w:r>
      <w:r w:rsidRPr="00164E9C">
        <w:t xml:space="preserve"> </w:t>
      </w:r>
      <w:r w:rsidRPr="00164E9C">
        <w:rPr>
          <w:rFonts w:eastAsiaTheme="minorHAnsi"/>
          <w:lang w:val="en-GB" w:eastAsia="en-US"/>
          <w14:ligatures w14:val="standardContextual"/>
        </w:rPr>
        <w:t>Gross Domestic Product (GDP), Foreign Direct Investments (FDIs</w:t>
      </w:r>
      <w:proofErr w:type="gramStart"/>
      <w:r w:rsidRPr="00164E9C">
        <w:rPr>
          <w:rFonts w:eastAsiaTheme="minorHAnsi"/>
          <w:lang w:val="en-GB" w:eastAsia="en-US"/>
          <w14:ligatures w14:val="standardContextual"/>
        </w:rPr>
        <w:t>)(</w:t>
      </w:r>
      <w:proofErr w:type="gramEnd"/>
      <w:r w:rsidRPr="00164E9C">
        <w:rPr>
          <w:rFonts w:eastAsiaTheme="minorHAnsi"/>
          <w:lang w:val="en-GB" w:eastAsia="en-US"/>
          <w14:ligatures w14:val="standardContextual"/>
        </w:rPr>
        <w:t>both Inflow and Outflow), Labour Unions, Labour Market Conditions, Inflation, Wage Growth, Tax Contribution, Government Policies, Women Workers' Employment Rates, Women's Unemployment Rates, Economic Growth, Civil Society, Economic and Social Development, Civic Participation, Rule of Law Index.</w:t>
      </w:r>
    </w:p>
  </w:footnote>
  <w:footnote w:id="4">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092B06"/>
    <w:multiLevelType w:val="hybridMultilevel"/>
    <w:tmpl w:val="9D4A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092EF2"/>
    <w:multiLevelType w:val="hybridMultilevel"/>
    <w:tmpl w:val="9272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590039895">
    <w:abstractNumId w:val="6"/>
  </w:num>
  <w:num w:numId="2" w16cid:durableId="1088966687">
    <w:abstractNumId w:val="4"/>
  </w:num>
  <w:num w:numId="3" w16cid:durableId="1237975427">
    <w:abstractNumId w:val="1"/>
  </w:num>
  <w:num w:numId="4" w16cid:durableId="308171132">
    <w:abstractNumId w:val="5"/>
  </w:num>
  <w:num w:numId="5" w16cid:durableId="1733116118">
    <w:abstractNumId w:val="0"/>
  </w:num>
  <w:num w:numId="6" w16cid:durableId="829176733">
    <w:abstractNumId w:val="3"/>
  </w:num>
  <w:num w:numId="7" w16cid:durableId="311257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046B3"/>
    <w:rsid w:val="00012222"/>
    <w:rsid w:val="0004693C"/>
    <w:rsid w:val="00047629"/>
    <w:rsid w:val="00065A06"/>
    <w:rsid w:val="00081D97"/>
    <w:rsid w:val="00082EAC"/>
    <w:rsid w:val="00083B58"/>
    <w:rsid w:val="00093DD9"/>
    <w:rsid w:val="000A0335"/>
    <w:rsid w:val="000B0190"/>
    <w:rsid w:val="000C2B02"/>
    <w:rsid w:val="001144E9"/>
    <w:rsid w:val="00115CF4"/>
    <w:rsid w:val="0014366A"/>
    <w:rsid w:val="00164E9C"/>
    <w:rsid w:val="00167F48"/>
    <w:rsid w:val="0017753D"/>
    <w:rsid w:val="00187C0F"/>
    <w:rsid w:val="00190178"/>
    <w:rsid w:val="001A3AAF"/>
    <w:rsid w:val="001B1B74"/>
    <w:rsid w:val="001B2035"/>
    <w:rsid w:val="001B4C76"/>
    <w:rsid w:val="001C0C03"/>
    <w:rsid w:val="001D0D0A"/>
    <w:rsid w:val="001E3058"/>
    <w:rsid w:val="001F0C1F"/>
    <w:rsid w:val="001F3AD9"/>
    <w:rsid w:val="0021146B"/>
    <w:rsid w:val="00212DDC"/>
    <w:rsid w:val="002354DF"/>
    <w:rsid w:val="00243D17"/>
    <w:rsid w:val="00261413"/>
    <w:rsid w:val="002671EB"/>
    <w:rsid w:val="002860DE"/>
    <w:rsid w:val="002866C4"/>
    <w:rsid w:val="002B4739"/>
    <w:rsid w:val="002C0CD8"/>
    <w:rsid w:val="002C3EDC"/>
    <w:rsid w:val="002D15B4"/>
    <w:rsid w:val="002D75E6"/>
    <w:rsid w:val="00300C8E"/>
    <w:rsid w:val="00313623"/>
    <w:rsid w:val="00313730"/>
    <w:rsid w:val="00314868"/>
    <w:rsid w:val="00317033"/>
    <w:rsid w:val="003249B6"/>
    <w:rsid w:val="0033155B"/>
    <w:rsid w:val="003323CA"/>
    <w:rsid w:val="00335ECB"/>
    <w:rsid w:val="00355E9C"/>
    <w:rsid w:val="003747DC"/>
    <w:rsid w:val="003817F7"/>
    <w:rsid w:val="003865A9"/>
    <w:rsid w:val="003B0A77"/>
    <w:rsid w:val="003C131C"/>
    <w:rsid w:val="003C6B4C"/>
    <w:rsid w:val="003D199C"/>
    <w:rsid w:val="003D3CA8"/>
    <w:rsid w:val="003D7517"/>
    <w:rsid w:val="003D7EE3"/>
    <w:rsid w:val="00406462"/>
    <w:rsid w:val="00410F1D"/>
    <w:rsid w:val="00411097"/>
    <w:rsid w:val="00423612"/>
    <w:rsid w:val="00426B33"/>
    <w:rsid w:val="00440632"/>
    <w:rsid w:val="00443C1E"/>
    <w:rsid w:val="0044517C"/>
    <w:rsid w:val="00456958"/>
    <w:rsid w:val="004701C9"/>
    <w:rsid w:val="004B1E07"/>
    <w:rsid w:val="004B27B1"/>
    <w:rsid w:val="004B52B7"/>
    <w:rsid w:val="004B6718"/>
    <w:rsid w:val="004D41E2"/>
    <w:rsid w:val="004E4DA2"/>
    <w:rsid w:val="004F1E06"/>
    <w:rsid w:val="00505875"/>
    <w:rsid w:val="00511AE3"/>
    <w:rsid w:val="00523E2A"/>
    <w:rsid w:val="0052667B"/>
    <w:rsid w:val="00526FD6"/>
    <w:rsid w:val="00542CB9"/>
    <w:rsid w:val="00545C3B"/>
    <w:rsid w:val="00553B00"/>
    <w:rsid w:val="0055413F"/>
    <w:rsid w:val="0058284B"/>
    <w:rsid w:val="0058328A"/>
    <w:rsid w:val="005921CD"/>
    <w:rsid w:val="005936B7"/>
    <w:rsid w:val="005A39CB"/>
    <w:rsid w:val="005D0832"/>
    <w:rsid w:val="005D48EC"/>
    <w:rsid w:val="005D5952"/>
    <w:rsid w:val="005E3A7B"/>
    <w:rsid w:val="005F7728"/>
    <w:rsid w:val="006059F9"/>
    <w:rsid w:val="00605CFF"/>
    <w:rsid w:val="00611974"/>
    <w:rsid w:val="006163DC"/>
    <w:rsid w:val="006210BE"/>
    <w:rsid w:val="00621658"/>
    <w:rsid w:val="006346DA"/>
    <w:rsid w:val="006409F2"/>
    <w:rsid w:val="00643F01"/>
    <w:rsid w:val="00671DC2"/>
    <w:rsid w:val="006754A0"/>
    <w:rsid w:val="00683488"/>
    <w:rsid w:val="006862CE"/>
    <w:rsid w:val="00695B12"/>
    <w:rsid w:val="006A2909"/>
    <w:rsid w:val="006B6E44"/>
    <w:rsid w:val="006C01D3"/>
    <w:rsid w:val="006C0947"/>
    <w:rsid w:val="006C3D95"/>
    <w:rsid w:val="006D1B83"/>
    <w:rsid w:val="006D51F4"/>
    <w:rsid w:val="006D60D5"/>
    <w:rsid w:val="006D61BF"/>
    <w:rsid w:val="006E133F"/>
    <w:rsid w:val="006E4C98"/>
    <w:rsid w:val="007159FD"/>
    <w:rsid w:val="00732E7A"/>
    <w:rsid w:val="0074482A"/>
    <w:rsid w:val="00755BAF"/>
    <w:rsid w:val="00782523"/>
    <w:rsid w:val="0079172D"/>
    <w:rsid w:val="007A2728"/>
    <w:rsid w:val="007B2139"/>
    <w:rsid w:val="007B749B"/>
    <w:rsid w:val="007C0842"/>
    <w:rsid w:val="007D2424"/>
    <w:rsid w:val="007D67B9"/>
    <w:rsid w:val="007E445B"/>
    <w:rsid w:val="007E7393"/>
    <w:rsid w:val="00802FA8"/>
    <w:rsid w:val="00806E9C"/>
    <w:rsid w:val="00815CFD"/>
    <w:rsid w:val="00826913"/>
    <w:rsid w:val="00853ED6"/>
    <w:rsid w:val="00865C73"/>
    <w:rsid w:val="008676CD"/>
    <w:rsid w:val="00867AEB"/>
    <w:rsid w:val="0087029C"/>
    <w:rsid w:val="008704E2"/>
    <w:rsid w:val="00882C9B"/>
    <w:rsid w:val="00887C08"/>
    <w:rsid w:val="00890F29"/>
    <w:rsid w:val="0089299F"/>
    <w:rsid w:val="008A1023"/>
    <w:rsid w:val="008A23A1"/>
    <w:rsid w:val="008A594A"/>
    <w:rsid w:val="008A63BB"/>
    <w:rsid w:val="008B74C0"/>
    <w:rsid w:val="008C1946"/>
    <w:rsid w:val="008D3193"/>
    <w:rsid w:val="008D3A76"/>
    <w:rsid w:val="008D686D"/>
    <w:rsid w:val="00903757"/>
    <w:rsid w:val="0091488A"/>
    <w:rsid w:val="00946350"/>
    <w:rsid w:val="00954D4E"/>
    <w:rsid w:val="009847D4"/>
    <w:rsid w:val="0099522B"/>
    <w:rsid w:val="00996671"/>
    <w:rsid w:val="009C730E"/>
    <w:rsid w:val="009D1035"/>
    <w:rsid w:val="009D4F26"/>
    <w:rsid w:val="009F4446"/>
    <w:rsid w:val="00A0007C"/>
    <w:rsid w:val="00A0088C"/>
    <w:rsid w:val="00A374CB"/>
    <w:rsid w:val="00A43213"/>
    <w:rsid w:val="00A5231F"/>
    <w:rsid w:val="00A742CF"/>
    <w:rsid w:val="00A97352"/>
    <w:rsid w:val="00AA07FB"/>
    <w:rsid w:val="00AB6979"/>
    <w:rsid w:val="00AD1D2C"/>
    <w:rsid w:val="00AD6201"/>
    <w:rsid w:val="00AE655F"/>
    <w:rsid w:val="00AF3AB1"/>
    <w:rsid w:val="00B214E6"/>
    <w:rsid w:val="00B22966"/>
    <w:rsid w:val="00B22CB2"/>
    <w:rsid w:val="00B23D49"/>
    <w:rsid w:val="00B30794"/>
    <w:rsid w:val="00B31933"/>
    <w:rsid w:val="00B32E0A"/>
    <w:rsid w:val="00B42766"/>
    <w:rsid w:val="00B4485B"/>
    <w:rsid w:val="00B65834"/>
    <w:rsid w:val="00B7276B"/>
    <w:rsid w:val="00BC3DC1"/>
    <w:rsid w:val="00BF0EA6"/>
    <w:rsid w:val="00BF410D"/>
    <w:rsid w:val="00C16360"/>
    <w:rsid w:val="00C26604"/>
    <w:rsid w:val="00C273D8"/>
    <w:rsid w:val="00C37778"/>
    <w:rsid w:val="00C65C84"/>
    <w:rsid w:val="00C6756E"/>
    <w:rsid w:val="00C72F12"/>
    <w:rsid w:val="00C76C36"/>
    <w:rsid w:val="00C80E20"/>
    <w:rsid w:val="00CC04A0"/>
    <w:rsid w:val="00CF1D67"/>
    <w:rsid w:val="00CF20AB"/>
    <w:rsid w:val="00D0391E"/>
    <w:rsid w:val="00D176C7"/>
    <w:rsid w:val="00D305C0"/>
    <w:rsid w:val="00D36B48"/>
    <w:rsid w:val="00D378B6"/>
    <w:rsid w:val="00D45E28"/>
    <w:rsid w:val="00D5715F"/>
    <w:rsid w:val="00D60A5D"/>
    <w:rsid w:val="00D620F3"/>
    <w:rsid w:val="00D73C4B"/>
    <w:rsid w:val="00D81165"/>
    <w:rsid w:val="00DC0782"/>
    <w:rsid w:val="00DE06C2"/>
    <w:rsid w:val="00DE25A6"/>
    <w:rsid w:val="00DE554C"/>
    <w:rsid w:val="00DF0103"/>
    <w:rsid w:val="00DF400E"/>
    <w:rsid w:val="00DF53A8"/>
    <w:rsid w:val="00E23279"/>
    <w:rsid w:val="00E25C2A"/>
    <w:rsid w:val="00E30F09"/>
    <w:rsid w:val="00E463EF"/>
    <w:rsid w:val="00E54367"/>
    <w:rsid w:val="00E55231"/>
    <w:rsid w:val="00E6006B"/>
    <w:rsid w:val="00E65126"/>
    <w:rsid w:val="00E727D8"/>
    <w:rsid w:val="00E75B79"/>
    <w:rsid w:val="00E9549A"/>
    <w:rsid w:val="00ED10FF"/>
    <w:rsid w:val="00EF1C0A"/>
    <w:rsid w:val="00EF7B8E"/>
    <w:rsid w:val="00F003D2"/>
    <w:rsid w:val="00F01821"/>
    <w:rsid w:val="00F20D8F"/>
    <w:rsid w:val="00F300BA"/>
    <w:rsid w:val="00F51726"/>
    <w:rsid w:val="00F57DF5"/>
    <w:rsid w:val="00F62993"/>
    <w:rsid w:val="00F669CF"/>
    <w:rsid w:val="00F67A25"/>
    <w:rsid w:val="00F72A6D"/>
    <w:rsid w:val="00F73358"/>
    <w:rsid w:val="00F80D47"/>
    <w:rsid w:val="00F82282"/>
    <w:rsid w:val="00F84784"/>
    <w:rsid w:val="00FA1691"/>
    <w:rsid w:val="00FA1E60"/>
    <w:rsid w:val="00FA7BE7"/>
    <w:rsid w:val="00FB0494"/>
    <w:rsid w:val="00FB4E93"/>
    <w:rsid w:val="00FD747B"/>
    <w:rsid w:val="00FE59D7"/>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01"/>
    <w:pPr>
      <w:spacing w:after="0" w:line="48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 w:type="paragraph" w:styleId="HTMLPreformatted">
    <w:name w:val="HTML Preformatted"/>
    <w:basedOn w:val="Normal"/>
    <w:link w:val="HTMLPreformattedChar"/>
    <w:uiPriority w:val="99"/>
    <w:semiHidden/>
    <w:unhideWhenUsed/>
    <w:rsid w:val="00335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5ECB"/>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164E9C"/>
    <w:rPr>
      <w:color w:val="467886" w:themeColor="hyperlink"/>
      <w:u w:val="single"/>
    </w:rPr>
  </w:style>
  <w:style w:type="character" w:styleId="UnresolvedMention">
    <w:name w:val="Unresolved Mention"/>
    <w:basedOn w:val="DefaultParagraphFont"/>
    <w:uiPriority w:val="99"/>
    <w:semiHidden/>
    <w:unhideWhenUsed/>
    <w:rsid w:val="00164E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6768889">
      <w:bodyDiv w:val="1"/>
      <w:marLeft w:val="0"/>
      <w:marRight w:val="0"/>
      <w:marTop w:val="0"/>
      <w:marBottom w:val="0"/>
      <w:divBdr>
        <w:top w:val="none" w:sz="0" w:space="0" w:color="auto"/>
        <w:left w:val="none" w:sz="0" w:space="0" w:color="auto"/>
        <w:bottom w:val="none" w:sz="0" w:space="0" w:color="auto"/>
        <w:right w:val="none" w:sz="0" w:space="0" w:color="auto"/>
      </w:divBdr>
      <w:divsChild>
        <w:div w:id="712853533">
          <w:marLeft w:val="0"/>
          <w:marRight w:val="0"/>
          <w:marTop w:val="0"/>
          <w:marBottom w:val="0"/>
          <w:divBdr>
            <w:top w:val="single" w:sz="2" w:space="0" w:color="E3E3E3"/>
            <w:left w:val="single" w:sz="2" w:space="0" w:color="E3E3E3"/>
            <w:bottom w:val="single" w:sz="2" w:space="0" w:color="E3E3E3"/>
            <w:right w:val="single" w:sz="2" w:space="0" w:color="E3E3E3"/>
          </w:divBdr>
          <w:divsChild>
            <w:div w:id="1748072788">
              <w:marLeft w:val="0"/>
              <w:marRight w:val="0"/>
              <w:marTop w:val="0"/>
              <w:marBottom w:val="0"/>
              <w:divBdr>
                <w:top w:val="single" w:sz="2" w:space="0" w:color="E3E3E3"/>
                <w:left w:val="single" w:sz="2" w:space="0" w:color="E3E3E3"/>
                <w:bottom w:val="single" w:sz="2" w:space="0" w:color="E3E3E3"/>
                <w:right w:val="single" w:sz="2" w:space="0" w:color="E3E3E3"/>
              </w:divBdr>
              <w:divsChild>
                <w:div w:id="66270248">
                  <w:marLeft w:val="0"/>
                  <w:marRight w:val="0"/>
                  <w:marTop w:val="0"/>
                  <w:marBottom w:val="0"/>
                  <w:divBdr>
                    <w:top w:val="single" w:sz="2" w:space="2" w:color="E3E3E3"/>
                    <w:left w:val="single" w:sz="2" w:space="0" w:color="E3E3E3"/>
                    <w:bottom w:val="single" w:sz="2" w:space="0" w:color="E3E3E3"/>
                    <w:right w:val="single" w:sz="2" w:space="0" w:color="E3E3E3"/>
                  </w:divBdr>
                  <w:divsChild>
                    <w:div w:id="318462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9764424">
          <w:marLeft w:val="0"/>
          <w:marRight w:val="0"/>
          <w:marTop w:val="0"/>
          <w:marBottom w:val="0"/>
          <w:divBdr>
            <w:top w:val="single" w:sz="2" w:space="0" w:color="E3E3E3"/>
            <w:left w:val="single" w:sz="2" w:space="0" w:color="E3E3E3"/>
            <w:bottom w:val="single" w:sz="2" w:space="0" w:color="E3E3E3"/>
            <w:right w:val="single" w:sz="2" w:space="0" w:color="E3E3E3"/>
          </w:divBdr>
          <w:divsChild>
            <w:div w:id="1319186167">
              <w:marLeft w:val="0"/>
              <w:marRight w:val="0"/>
              <w:marTop w:val="0"/>
              <w:marBottom w:val="0"/>
              <w:divBdr>
                <w:top w:val="single" w:sz="2" w:space="0" w:color="E3E3E3"/>
                <w:left w:val="single" w:sz="2" w:space="0" w:color="E3E3E3"/>
                <w:bottom w:val="single" w:sz="2" w:space="0" w:color="E3E3E3"/>
                <w:right w:val="single" w:sz="2" w:space="0" w:color="E3E3E3"/>
              </w:divBdr>
              <w:divsChild>
                <w:div w:id="1573810900">
                  <w:marLeft w:val="0"/>
                  <w:marRight w:val="0"/>
                  <w:marTop w:val="0"/>
                  <w:marBottom w:val="0"/>
                  <w:divBdr>
                    <w:top w:val="single" w:sz="2" w:space="0" w:color="E3E3E3"/>
                    <w:left w:val="single" w:sz="2" w:space="0" w:color="E3E3E3"/>
                    <w:bottom w:val="single" w:sz="2" w:space="0" w:color="E3E3E3"/>
                    <w:right w:val="single" w:sz="2" w:space="0" w:color="E3E3E3"/>
                  </w:divBdr>
                  <w:divsChild>
                    <w:div w:id="507796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78246849">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869882931">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882807">
      <w:bodyDiv w:val="1"/>
      <w:marLeft w:val="0"/>
      <w:marRight w:val="0"/>
      <w:marTop w:val="0"/>
      <w:marBottom w:val="0"/>
      <w:divBdr>
        <w:top w:val="none" w:sz="0" w:space="0" w:color="auto"/>
        <w:left w:val="none" w:sz="0" w:space="0" w:color="auto"/>
        <w:bottom w:val="none" w:sz="0" w:space="0" w:color="auto"/>
        <w:right w:val="none" w:sz="0" w:space="0" w:color="auto"/>
      </w:divBdr>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3122029">
      <w:bodyDiv w:val="1"/>
      <w:marLeft w:val="0"/>
      <w:marRight w:val="0"/>
      <w:marTop w:val="0"/>
      <w:marBottom w:val="0"/>
      <w:divBdr>
        <w:top w:val="none" w:sz="0" w:space="0" w:color="auto"/>
        <w:left w:val="none" w:sz="0" w:space="0" w:color="auto"/>
        <w:bottom w:val="none" w:sz="0" w:space="0" w:color="auto"/>
        <w:right w:val="none" w:sz="0" w:space="0" w:color="auto"/>
      </w:divBdr>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data.worldbank.org/" TargetMode="External"/><Relationship Id="rId1" Type="http://schemas.openxmlformats.org/officeDocument/2006/relationships/hyperlink" Target="https://stats.oec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122</TotalTime>
  <Pages>35</Pages>
  <Words>14093</Words>
  <Characters>80333</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19</cp:revision>
  <dcterms:created xsi:type="dcterms:W3CDTF">2024-05-23T11:08:00Z</dcterms:created>
  <dcterms:modified xsi:type="dcterms:W3CDTF">2024-05-27T21:12:00Z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id="kdEDLGpT"/&gt;&lt;style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