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1.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word/charts/chart50.xml" ContentType="application/vnd.openxmlformats-officedocument.drawingml.chart+xml"/>
  <Override PartName="/word/charts/chart60.xml" ContentType="application/vnd.openxmlformats-officedocument.drawingml.chart+xml"/>
  <Override PartName="/word/charts/chart70.xml" ContentType="application/vnd.openxmlformats-officedocument.drawingml.chart+xml"/>
  <Override PartName="/word/charts/chart80.xml" ContentType="application/vnd.openxmlformats-officedocument.drawingml.chart+xml"/>
  <Override PartName="/word/charts/chart90.xml" ContentType="application/vnd.openxmlformats-officedocument.drawingml.chart+xml"/>
  <Override PartName="/word/charts/chart100.xml" ContentType="application/vnd.openxmlformats-officedocument.drawingml.chart+xml"/>
  <Override PartName="/word/charts/colors11.xml" ContentType="application/vnd.ms-office.chartcolorstyle+xml"/>
  <Override PartName="/word/charts/style11.xml" ContentType="application/vnd.ms-office.chartstyle+xml"/>
  <Override PartName="/word/charts/colors20.xml" ContentType="application/vnd.ms-office.chartcolorstyle+xml"/>
  <Override PartName="/word/charts/style20.xml" ContentType="application/vnd.ms-office.chartstyle+xml"/>
  <Override PartName="/word/charts/colors30.xml" ContentType="application/vnd.ms-office.chartcolorstyle+xml"/>
  <Override PartName="/word/charts/style30.xml" ContentType="application/vnd.ms-office.chartstyle+xml"/>
  <Override PartName="/word/charts/colors40.xml" ContentType="application/vnd.ms-office.chartcolorstyle+xml"/>
  <Override PartName="/word/charts/style40.xml" ContentType="application/vnd.ms-office.chartstyle+xml"/>
  <Override PartName="/word/charts/colors50.xml" ContentType="application/vnd.ms-office.chartcolorstyle+xml"/>
  <Override PartName="/word/charts/style50.xml" ContentType="application/vnd.ms-office.chartstyle+xml"/>
  <Override PartName="/word/charts/colors60.xml" ContentType="application/vnd.ms-office.chartcolorstyle+xml"/>
  <Override PartName="/word/charts/style60.xml" ContentType="application/vnd.ms-office.chartstyle+xml"/>
  <Override PartName="/word/charts/colors70.xml" ContentType="application/vnd.ms-office.chartcolorstyle+xml"/>
  <Override PartName="/word/charts/style70.xml" ContentType="application/vnd.ms-office.chartstyle+xml"/>
  <Override PartName="/word/charts/colors80.xml" ContentType="application/vnd.ms-office.chartcolorstyle+xml"/>
  <Override PartName="/word/charts/style80.xml" ContentType="application/vnd.ms-office.chartstyle+xml"/>
  <Override PartName="/word/charts/colors90.xml" ContentType="application/vnd.ms-office.chartcolorstyle+xml"/>
  <Override PartName="/word/charts/style90.xml" ContentType="application/vnd.ms-office.chartstyle+xml"/>
  <Override PartName="/word/charts/colors100.xml" ContentType="application/vnd.ms-office.chartcolorstyle+xml"/>
  <Override PartName="/word/charts/style10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6BCF" w:rsidRDefault="000D6BCF" w:rsidP="000D6BCF">
      <w:pPr>
        <w:autoSpaceDE w:val="0"/>
        <w:autoSpaceDN w:val="0"/>
        <w:adjustRightInd w:val="0"/>
        <w:spacing w:after="0" w:line="360" w:lineRule="auto"/>
        <w:jc w:val="center"/>
        <w:rPr>
          <w:rFonts w:cs="Times New Roman"/>
          <w:b/>
          <w:bCs/>
          <w:sz w:val="30"/>
          <w:szCs w:val="30"/>
        </w:rPr>
      </w:pPr>
      <w:r>
        <w:rPr>
          <w:rFonts w:cs="Times New Roman"/>
          <w:b/>
          <w:bCs/>
          <w:sz w:val="30"/>
          <w:szCs w:val="30"/>
        </w:rPr>
        <w:t>UNIVERSITÁ DEGLI STUDI DI MILANO-BICOCCA</w:t>
      </w:r>
    </w:p>
    <w:p w:rsidR="000D6BCF" w:rsidRDefault="000D6BCF" w:rsidP="000D6BCF">
      <w:pPr>
        <w:autoSpaceDE w:val="0"/>
        <w:autoSpaceDN w:val="0"/>
        <w:adjustRightInd w:val="0"/>
        <w:spacing w:after="0" w:line="360" w:lineRule="auto"/>
        <w:jc w:val="center"/>
        <w:rPr>
          <w:rFonts w:cs="Times New Roman"/>
          <w:sz w:val="28"/>
          <w:szCs w:val="28"/>
        </w:rPr>
      </w:pPr>
      <w:r>
        <w:rPr>
          <w:rFonts w:cs="Times New Roman"/>
          <w:sz w:val="28"/>
          <w:szCs w:val="28"/>
        </w:rPr>
        <w:t>Scuola di Economia e Statistica</w:t>
      </w:r>
    </w:p>
    <w:p w:rsidR="00DB14BD" w:rsidRPr="00F415F2" w:rsidRDefault="000D6BCF" w:rsidP="000D6BCF">
      <w:pPr>
        <w:spacing w:line="360" w:lineRule="auto"/>
        <w:ind w:firstLine="397"/>
        <w:jc w:val="center"/>
        <w:rPr>
          <w:rFonts w:cs="Times New Roman"/>
          <w:sz w:val="32"/>
        </w:rPr>
      </w:pPr>
      <w:r>
        <w:rPr>
          <w:rFonts w:cs="Times New Roman"/>
          <w:sz w:val="28"/>
          <w:szCs w:val="28"/>
        </w:rPr>
        <w:t>Corso di laurea in</w:t>
      </w:r>
      <w:r w:rsidRPr="000D6BCF">
        <w:rPr>
          <w:rFonts w:cs="Times New Roman"/>
          <w:sz w:val="32"/>
        </w:rPr>
        <w:t xml:space="preserve"> </w:t>
      </w:r>
      <w:r w:rsidR="00F415F2" w:rsidRPr="000D6BCF">
        <w:rPr>
          <w:rFonts w:cs="Times New Roman"/>
          <w:sz w:val="28"/>
          <w:szCs w:val="28"/>
        </w:rPr>
        <w:t>economia e amministrazione delle imprese</w:t>
      </w:r>
    </w:p>
    <w:p w:rsidR="00DB14BD" w:rsidRPr="00665924" w:rsidRDefault="00DB14BD" w:rsidP="00665924">
      <w:pPr>
        <w:spacing w:line="360" w:lineRule="auto"/>
        <w:ind w:firstLine="397"/>
        <w:jc w:val="both"/>
        <w:rPr>
          <w:rFonts w:cs="Times New Roman"/>
          <w:b/>
          <w:sz w:val="32"/>
        </w:rPr>
      </w:pPr>
    </w:p>
    <w:p w:rsidR="00F415F2" w:rsidRDefault="000D6BCF" w:rsidP="00F415F2">
      <w:pPr>
        <w:spacing w:line="360" w:lineRule="auto"/>
        <w:ind w:firstLine="397"/>
        <w:jc w:val="center"/>
        <w:rPr>
          <w:rFonts w:cs="Times New Roman"/>
          <w:b/>
          <w:sz w:val="32"/>
        </w:rPr>
      </w:pPr>
      <w:r>
        <w:rPr>
          <w:rFonts w:cs="Times New Roman"/>
          <w:b/>
          <w:noProof/>
          <w:sz w:val="32"/>
          <w:lang w:eastAsia="it-IT"/>
        </w:rPr>
        <w:drawing>
          <wp:inline distT="0" distB="0" distL="0" distR="0">
            <wp:extent cx="947220" cy="1020726"/>
            <wp:effectExtent l="0" t="0" r="5715" b="8255"/>
            <wp:docPr id="31" name="Immagine 31" descr="C:\Users\Jacopo\Downloads\unim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po\Downloads\unimi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7081" cy="1031352"/>
                    </a:xfrm>
                    <a:prstGeom prst="rect">
                      <a:avLst/>
                    </a:prstGeom>
                    <a:noFill/>
                    <a:ln>
                      <a:noFill/>
                    </a:ln>
                  </pic:spPr>
                </pic:pic>
              </a:graphicData>
            </a:graphic>
          </wp:inline>
        </w:drawing>
      </w:r>
    </w:p>
    <w:p w:rsidR="000D6BCF" w:rsidRDefault="000D6BCF" w:rsidP="00F415F2">
      <w:pPr>
        <w:spacing w:line="360" w:lineRule="auto"/>
        <w:ind w:firstLine="397"/>
        <w:jc w:val="center"/>
        <w:rPr>
          <w:rFonts w:cs="Times New Roman"/>
          <w:b/>
          <w:sz w:val="32"/>
        </w:rPr>
      </w:pPr>
    </w:p>
    <w:p w:rsidR="0048553E" w:rsidRPr="000D6BCF" w:rsidRDefault="00A65579" w:rsidP="00665924">
      <w:pPr>
        <w:spacing w:line="360" w:lineRule="auto"/>
        <w:ind w:firstLine="397"/>
        <w:jc w:val="center"/>
        <w:rPr>
          <w:rFonts w:cs="Times New Roman"/>
          <w:b/>
          <w:sz w:val="32"/>
        </w:rPr>
      </w:pPr>
      <w:r w:rsidRPr="000D6BCF">
        <w:rPr>
          <w:rFonts w:cs="Times New Roman"/>
          <w:b/>
          <w:sz w:val="32"/>
        </w:rPr>
        <w:t xml:space="preserve">Gli effetti economici della </w:t>
      </w:r>
      <w:r w:rsidR="00B406A5" w:rsidRPr="000D6BCF">
        <w:rPr>
          <w:rFonts w:cs="Times New Roman"/>
          <w:b/>
          <w:sz w:val="32"/>
        </w:rPr>
        <w:t>Brexit</w:t>
      </w:r>
      <w:r w:rsidR="0048553E" w:rsidRPr="000D6BCF">
        <w:rPr>
          <w:rFonts w:cs="Times New Roman"/>
          <w:b/>
          <w:sz w:val="32"/>
        </w:rPr>
        <w:t xml:space="preserve">. </w:t>
      </w:r>
    </w:p>
    <w:p w:rsidR="00A65579" w:rsidRPr="000D6BCF" w:rsidRDefault="0048553E" w:rsidP="00665924">
      <w:pPr>
        <w:spacing w:line="360" w:lineRule="auto"/>
        <w:ind w:firstLine="397"/>
        <w:jc w:val="center"/>
        <w:rPr>
          <w:rFonts w:cs="Times New Roman"/>
          <w:b/>
          <w:sz w:val="32"/>
        </w:rPr>
      </w:pPr>
      <w:r w:rsidRPr="000D6BCF">
        <w:rPr>
          <w:rFonts w:cs="Times New Roman"/>
          <w:b/>
          <w:sz w:val="32"/>
        </w:rPr>
        <w:t>Un’analisi preliminare</w:t>
      </w:r>
    </w:p>
    <w:p w:rsidR="00F415F2" w:rsidRDefault="00F415F2" w:rsidP="000D6BCF">
      <w:pPr>
        <w:spacing w:line="360" w:lineRule="auto"/>
        <w:jc w:val="both"/>
        <w:rPr>
          <w:rFonts w:cs="Times New Roman"/>
        </w:rPr>
      </w:pPr>
    </w:p>
    <w:p w:rsidR="002F7533" w:rsidRPr="00F415F2" w:rsidRDefault="002F7533" w:rsidP="00665924">
      <w:pPr>
        <w:spacing w:line="360" w:lineRule="auto"/>
        <w:ind w:firstLine="397"/>
        <w:jc w:val="both"/>
        <w:rPr>
          <w:rFonts w:cs="Times New Roman"/>
          <w:b/>
        </w:rPr>
      </w:pPr>
    </w:p>
    <w:p w:rsidR="00F415F2" w:rsidRPr="00F415F2" w:rsidRDefault="00F415F2" w:rsidP="00665924">
      <w:pPr>
        <w:spacing w:line="360" w:lineRule="auto"/>
        <w:ind w:firstLine="397"/>
        <w:jc w:val="both"/>
        <w:rPr>
          <w:rFonts w:cs="Times New Roman"/>
          <w:b/>
        </w:rPr>
        <w:sectPr w:rsidR="00F415F2" w:rsidRPr="00F415F2" w:rsidSect="00A65579">
          <w:footerReference w:type="default" r:id="rId9"/>
          <w:pgSz w:w="11906" w:h="16838" w:code="9"/>
          <w:pgMar w:top="1701" w:right="1418" w:bottom="1418" w:left="1418" w:header="709" w:footer="709" w:gutter="0"/>
          <w:cols w:space="708"/>
          <w:titlePg/>
          <w:docGrid w:linePitch="360"/>
        </w:sectPr>
      </w:pPr>
    </w:p>
    <w:p w:rsidR="000D6BCF" w:rsidRDefault="000D6BCF" w:rsidP="000D6BCF">
      <w:pPr>
        <w:spacing w:line="360" w:lineRule="auto"/>
        <w:ind w:firstLine="397"/>
        <w:rPr>
          <w:rFonts w:cs="Times New Roman"/>
          <w:sz w:val="28"/>
          <w:szCs w:val="28"/>
        </w:rPr>
      </w:pPr>
      <w:r>
        <w:rPr>
          <w:rFonts w:cs="Times New Roman"/>
          <w:sz w:val="28"/>
          <w:szCs w:val="28"/>
        </w:rPr>
        <w:t>Relatore: Prof. Ugo Arrigo</w:t>
      </w:r>
    </w:p>
    <w:p w:rsidR="000D6BCF" w:rsidRDefault="000D6BCF" w:rsidP="000D6BCF">
      <w:pPr>
        <w:spacing w:line="360" w:lineRule="auto"/>
        <w:ind w:firstLine="397"/>
        <w:rPr>
          <w:rFonts w:cs="Times New Roman"/>
          <w:sz w:val="28"/>
          <w:szCs w:val="28"/>
        </w:rPr>
      </w:pPr>
    </w:p>
    <w:p w:rsidR="000D6BCF" w:rsidRDefault="000D6BCF" w:rsidP="000D6BCF">
      <w:pPr>
        <w:spacing w:line="360" w:lineRule="auto"/>
        <w:ind w:firstLine="397"/>
        <w:rPr>
          <w:rFonts w:cs="Times New Roman"/>
          <w:sz w:val="28"/>
          <w:szCs w:val="28"/>
        </w:rPr>
      </w:pPr>
    </w:p>
    <w:p w:rsidR="000D6BCF" w:rsidRDefault="000D6BCF" w:rsidP="000D6BCF">
      <w:pPr>
        <w:autoSpaceDE w:val="0"/>
        <w:autoSpaceDN w:val="0"/>
        <w:adjustRightInd w:val="0"/>
        <w:spacing w:after="0" w:line="360" w:lineRule="auto"/>
        <w:jc w:val="right"/>
        <w:rPr>
          <w:rFonts w:cs="Times New Roman"/>
          <w:sz w:val="28"/>
          <w:szCs w:val="28"/>
        </w:rPr>
      </w:pPr>
      <w:r>
        <w:rPr>
          <w:rFonts w:cs="Times New Roman"/>
          <w:sz w:val="28"/>
          <w:szCs w:val="28"/>
        </w:rPr>
        <w:t>Tesi di Laurea di:</w:t>
      </w:r>
    </w:p>
    <w:p w:rsidR="000D6BCF" w:rsidRDefault="000D6BCF" w:rsidP="000D6BCF">
      <w:pPr>
        <w:autoSpaceDE w:val="0"/>
        <w:autoSpaceDN w:val="0"/>
        <w:adjustRightInd w:val="0"/>
        <w:spacing w:after="0" w:line="360" w:lineRule="auto"/>
        <w:jc w:val="right"/>
        <w:rPr>
          <w:rFonts w:cs="Times New Roman"/>
          <w:sz w:val="28"/>
          <w:szCs w:val="28"/>
        </w:rPr>
      </w:pPr>
      <w:r>
        <w:rPr>
          <w:rFonts w:cs="Times New Roman"/>
          <w:sz w:val="28"/>
          <w:szCs w:val="28"/>
        </w:rPr>
        <w:t>Jacopo De Angelis</w:t>
      </w:r>
    </w:p>
    <w:p w:rsidR="000D6BCF" w:rsidRDefault="000D6BCF" w:rsidP="000D6BCF">
      <w:pPr>
        <w:spacing w:line="360" w:lineRule="auto"/>
        <w:jc w:val="right"/>
        <w:rPr>
          <w:rFonts w:cs="Times New Roman"/>
          <w:sz w:val="28"/>
          <w:szCs w:val="28"/>
        </w:rPr>
      </w:pPr>
      <w:proofErr w:type="spellStart"/>
      <w:r>
        <w:rPr>
          <w:rFonts w:cs="Times New Roman"/>
          <w:sz w:val="28"/>
          <w:szCs w:val="28"/>
        </w:rPr>
        <w:t>Matr</w:t>
      </w:r>
      <w:proofErr w:type="spellEnd"/>
      <w:r>
        <w:rPr>
          <w:rFonts w:cs="Times New Roman"/>
          <w:sz w:val="28"/>
          <w:szCs w:val="28"/>
        </w:rPr>
        <w:t>. N. 769468</w:t>
      </w:r>
    </w:p>
    <w:p w:rsidR="000D6BCF" w:rsidRDefault="000D6BCF" w:rsidP="000D6BCF">
      <w:pPr>
        <w:spacing w:line="360" w:lineRule="auto"/>
        <w:jc w:val="center"/>
        <w:rPr>
          <w:rFonts w:cs="Times New Roman"/>
          <w:sz w:val="28"/>
          <w:szCs w:val="28"/>
        </w:rPr>
      </w:pPr>
    </w:p>
    <w:p w:rsidR="000D6BCF" w:rsidRDefault="000D6BCF" w:rsidP="000D6BCF">
      <w:pPr>
        <w:spacing w:line="360" w:lineRule="auto"/>
        <w:jc w:val="center"/>
        <w:rPr>
          <w:rFonts w:cs="Times New Roman"/>
          <w:sz w:val="28"/>
          <w:szCs w:val="28"/>
        </w:rPr>
      </w:pPr>
    </w:p>
    <w:p w:rsidR="000D6BCF" w:rsidRDefault="000D6BCF" w:rsidP="000D6BCF">
      <w:pPr>
        <w:spacing w:line="360" w:lineRule="auto"/>
        <w:jc w:val="center"/>
        <w:rPr>
          <w:rFonts w:cs="Times New Roman"/>
          <w:sz w:val="28"/>
          <w:szCs w:val="28"/>
        </w:rPr>
      </w:pPr>
    </w:p>
    <w:p w:rsidR="00E53F5E" w:rsidRDefault="000D6BCF" w:rsidP="000D6BCF">
      <w:pPr>
        <w:spacing w:line="360" w:lineRule="auto"/>
        <w:jc w:val="center"/>
        <w:rPr>
          <w:rFonts w:cs="Times New Roman"/>
          <w:sz w:val="28"/>
          <w:szCs w:val="28"/>
        </w:rPr>
      </w:pPr>
      <w:r>
        <w:rPr>
          <w:rFonts w:cs="Times New Roman"/>
          <w:sz w:val="28"/>
          <w:szCs w:val="28"/>
        </w:rPr>
        <w:t>Anno Accademico 2015/2016</w:t>
      </w:r>
    </w:p>
    <w:p w:rsidR="00A65579" w:rsidRPr="00E53F5E" w:rsidRDefault="00E53F5E" w:rsidP="00E53F5E">
      <w:pPr>
        <w:rPr>
          <w:rFonts w:cs="Times New Roman"/>
          <w:sz w:val="28"/>
          <w:szCs w:val="28"/>
        </w:rPr>
      </w:pPr>
      <w:r>
        <w:rPr>
          <w:rFonts w:cs="Times New Roman"/>
          <w:sz w:val="28"/>
          <w:szCs w:val="28"/>
        </w:rPr>
        <w:br w:type="page"/>
      </w:r>
      <w:r w:rsidR="00A65579" w:rsidRPr="00665924">
        <w:rPr>
          <w:rFonts w:cs="Times New Roman"/>
        </w:rPr>
        <w:lastRenderedPageBreak/>
        <w:br w:type="page"/>
      </w:r>
    </w:p>
    <w:sdt>
      <w:sdtPr>
        <w:rPr>
          <w:rFonts w:eastAsiaTheme="minorEastAsia" w:cs="Times New Roman"/>
          <w:b w:val="0"/>
          <w:i w:val="0"/>
          <w:color w:val="auto"/>
          <w:sz w:val="22"/>
          <w:szCs w:val="22"/>
        </w:rPr>
        <w:id w:val="513036834"/>
        <w:docPartObj>
          <w:docPartGallery w:val="Table of Contents"/>
          <w:docPartUnique/>
        </w:docPartObj>
      </w:sdtPr>
      <w:sdtEndPr>
        <w:rPr>
          <w:bCs/>
        </w:rPr>
      </w:sdtEndPr>
      <w:sdtContent>
        <w:p w:rsidR="00A65579" w:rsidRPr="00665924" w:rsidRDefault="00A65579" w:rsidP="00665924">
          <w:pPr>
            <w:pStyle w:val="Titolosommario"/>
            <w:spacing w:line="360" w:lineRule="auto"/>
            <w:ind w:firstLine="397"/>
            <w:jc w:val="both"/>
            <w:rPr>
              <w:rFonts w:cs="Times New Roman"/>
            </w:rPr>
          </w:pPr>
          <w:r w:rsidRPr="00665924">
            <w:rPr>
              <w:rFonts w:cs="Times New Roman"/>
            </w:rPr>
            <w:t>Sommari</w:t>
          </w:r>
          <w:bookmarkStart w:id="0" w:name="_GoBack"/>
          <w:bookmarkEnd w:id="0"/>
          <w:r w:rsidRPr="00665924">
            <w:rPr>
              <w:rFonts w:cs="Times New Roman"/>
            </w:rPr>
            <w:t>o</w:t>
          </w:r>
        </w:p>
        <w:p w:rsidR="00F65CED" w:rsidRDefault="00A65579">
          <w:pPr>
            <w:pStyle w:val="Sommario1"/>
            <w:tabs>
              <w:tab w:val="left" w:pos="440"/>
              <w:tab w:val="right" w:leader="dot" w:pos="9060"/>
            </w:tabs>
            <w:rPr>
              <w:rFonts w:asciiTheme="minorHAnsi" w:hAnsiTheme="minorHAnsi"/>
              <w:noProof/>
              <w:lang w:eastAsia="it-IT"/>
            </w:rPr>
          </w:pPr>
          <w:r w:rsidRPr="00665924">
            <w:rPr>
              <w:rFonts w:cs="Times New Roman"/>
            </w:rPr>
            <w:fldChar w:fldCharType="begin"/>
          </w:r>
          <w:r w:rsidRPr="00665924">
            <w:rPr>
              <w:rFonts w:cs="Times New Roman"/>
            </w:rPr>
            <w:instrText xml:space="preserve"> TOC \o "1-3" \h \z \u </w:instrText>
          </w:r>
          <w:r w:rsidRPr="00665924">
            <w:rPr>
              <w:rFonts w:cs="Times New Roman"/>
            </w:rPr>
            <w:fldChar w:fldCharType="separate"/>
          </w:r>
          <w:hyperlink w:anchor="_Toc475559347" w:history="1">
            <w:r w:rsidR="00F65CED" w:rsidRPr="004173FD">
              <w:rPr>
                <w:rStyle w:val="Collegamentoipertestuale"/>
                <w:rFonts w:cs="Times New Roman"/>
                <w:noProof/>
              </w:rPr>
              <w:t>1.</w:t>
            </w:r>
            <w:r w:rsidR="00F65CED">
              <w:rPr>
                <w:rFonts w:asciiTheme="minorHAnsi" w:hAnsiTheme="minorHAnsi"/>
                <w:noProof/>
                <w:lang w:eastAsia="it-IT"/>
              </w:rPr>
              <w:tab/>
            </w:r>
            <w:r w:rsidR="00F65CED" w:rsidRPr="004173FD">
              <w:rPr>
                <w:rStyle w:val="Collegamentoipertestuale"/>
                <w:rFonts w:cs="Times New Roman"/>
                <w:noProof/>
              </w:rPr>
              <w:t>Storia dell’Unione Europea e genesi del referendum britannico</w:t>
            </w:r>
            <w:r w:rsidR="00F65CED">
              <w:rPr>
                <w:noProof/>
                <w:webHidden/>
              </w:rPr>
              <w:tab/>
            </w:r>
            <w:r w:rsidR="00F65CED">
              <w:rPr>
                <w:noProof/>
                <w:webHidden/>
              </w:rPr>
              <w:fldChar w:fldCharType="begin"/>
            </w:r>
            <w:r w:rsidR="00F65CED">
              <w:rPr>
                <w:noProof/>
                <w:webHidden/>
              </w:rPr>
              <w:instrText xml:space="preserve"> PAGEREF _Toc475559347 \h </w:instrText>
            </w:r>
            <w:r w:rsidR="00F65CED">
              <w:rPr>
                <w:noProof/>
                <w:webHidden/>
              </w:rPr>
            </w:r>
            <w:r w:rsidR="00F65CED">
              <w:rPr>
                <w:noProof/>
                <w:webHidden/>
              </w:rPr>
              <w:fldChar w:fldCharType="separate"/>
            </w:r>
            <w:r w:rsidR="00F65CED">
              <w:rPr>
                <w:noProof/>
                <w:webHidden/>
              </w:rPr>
              <w:t>5</w:t>
            </w:r>
            <w:r w:rsidR="00F65CED">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48" w:history="1">
            <w:r w:rsidRPr="004173FD">
              <w:rPr>
                <w:rStyle w:val="Collegamentoipertestuale"/>
                <w:rFonts w:cs="Times New Roman"/>
                <w:noProof/>
              </w:rPr>
              <w:t>1.1.</w:t>
            </w:r>
            <w:r>
              <w:rPr>
                <w:rFonts w:asciiTheme="minorHAnsi" w:hAnsiTheme="minorHAnsi"/>
                <w:noProof/>
                <w:lang w:eastAsia="it-IT"/>
              </w:rPr>
              <w:tab/>
            </w:r>
            <w:r w:rsidRPr="004173FD">
              <w:rPr>
                <w:rStyle w:val="Collegamentoipertestuale"/>
                <w:rFonts w:cs="Times New Roman"/>
                <w:noProof/>
              </w:rPr>
              <w:t>1945 – 1959: i fantasmi del conflitto</w:t>
            </w:r>
            <w:r>
              <w:rPr>
                <w:noProof/>
                <w:webHidden/>
              </w:rPr>
              <w:tab/>
            </w:r>
            <w:r>
              <w:rPr>
                <w:noProof/>
                <w:webHidden/>
              </w:rPr>
              <w:fldChar w:fldCharType="begin"/>
            </w:r>
            <w:r>
              <w:rPr>
                <w:noProof/>
                <w:webHidden/>
              </w:rPr>
              <w:instrText xml:space="preserve"> PAGEREF _Toc475559348 \h </w:instrText>
            </w:r>
            <w:r>
              <w:rPr>
                <w:noProof/>
                <w:webHidden/>
              </w:rPr>
            </w:r>
            <w:r>
              <w:rPr>
                <w:noProof/>
                <w:webHidden/>
              </w:rPr>
              <w:fldChar w:fldCharType="separate"/>
            </w:r>
            <w:r>
              <w:rPr>
                <w:noProof/>
                <w:webHidden/>
              </w:rPr>
              <w:t>5</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49" w:history="1">
            <w:r w:rsidRPr="004173FD">
              <w:rPr>
                <w:rStyle w:val="Collegamentoipertestuale"/>
                <w:rFonts w:cs="Times New Roman"/>
                <w:noProof/>
              </w:rPr>
              <w:t>1.2.</w:t>
            </w:r>
            <w:r>
              <w:rPr>
                <w:rFonts w:asciiTheme="minorHAnsi" w:hAnsiTheme="minorHAnsi"/>
                <w:noProof/>
                <w:lang w:eastAsia="it-IT"/>
              </w:rPr>
              <w:tab/>
            </w:r>
            <w:r w:rsidRPr="004173FD">
              <w:rPr>
                <w:rStyle w:val="Collegamentoipertestuale"/>
                <w:rFonts w:cs="Times New Roman"/>
                <w:noProof/>
              </w:rPr>
              <w:t>1960 – 1969: venti di crescita</w:t>
            </w:r>
            <w:r>
              <w:rPr>
                <w:noProof/>
                <w:webHidden/>
              </w:rPr>
              <w:tab/>
            </w:r>
            <w:r>
              <w:rPr>
                <w:noProof/>
                <w:webHidden/>
              </w:rPr>
              <w:fldChar w:fldCharType="begin"/>
            </w:r>
            <w:r>
              <w:rPr>
                <w:noProof/>
                <w:webHidden/>
              </w:rPr>
              <w:instrText xml:space="preserve"> PAGEREF _Toc475559349 \h </w:instrText>
            </w:r>
            <w:r>
              <w:rPr>
                <w:noProof/>
                <w:webHidden/>
              </w:rPr>
            </w:r>
            <w:r>
              <w:rPr>
                <w:noProof/>
                <w:webHidden/>
              </w:rPr>
              <w:fldChar w:fldCharType="separate"/>
            </w:r>
            <w:r>
              <w:rPr>
                <w:noProof/>
                <w:webHidden/>
              </w:rPr>
              <w:t>5</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50" w:history="1">
            <w:r w:rsidRPr="004173FD">
              <w:rPr>
                <w:rStyle w:val="Collegamentoipertestuale"/>
                <w:rFonts w:cs="Times New Roman"/>
                <w:noProof/>
              </w:rPr>
              <w:t>1.3.</w:t>
            </w:r>
            <w:r>
              <w:rPr>
                <w:rFonts w:asciiTheme="minorHAnsi" w:hAnsiTheme="minorHAnsi"/>
                <w:noProof/>
                <w:lang w:eastAsia="it-IT"/>
              </w:rPr>
              <w:tab/>
            </w:r>
            <w:r w:rsidRPr="004173FD">
              <w:rPr>
                <w:rStyle w:val="Collegamentoipertestuale"/>
                <w:rFonts w:cs="Times New Roman"/>
                <w:noProof/>
              </w:rPr>
              <w:t>1970 – 1979: una comunità in crescita</w:t>
            </w:r>
            <w:r>
              <w:rPr>
                <w:noProof/>
                <w:webHidden/>
              </w:rPr>
              <w:tab/>
            </w:r>
            <w:r>
              <w:rPr>
                <w:noProof/>
                <w:webHidden/>
              </w:rPr>
              <w:fldChar w:fldCharType="begin"/>
            </w:r>
            <w:r>
              <w:rPr>
                <w:noProof/>
                <w:webHidden/>
              </w:rPr>
              <w:instrText xml:space="preserve"> PAGEREF _Toc475559350 \h </w:instrText>
            </w:r>
            <w:r>
              <w:rPr>
                <w:noProof/>
                <w:webHidden/>
              </w:rPr>
            </w:r>
            <w:r>
              <w:rPr>
                <w:noProof/>
                <w:webHidden/>
              </w:rPr>
              <w:fldChar w:fldCharType="separate"/>
            </w:r>
            <w:r>
              <w:rPr>
                <w:noProof/>
                <w:webHidden/>
              </w:rPr>
              <w:t>6</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51" w:history="1">
            <w:r w:rsidRPr="004173FD">
              <w:rPr>
                <w:rStyle w:val="Collegamentoipertestuale"/>
                <w:rFonts w:cs="Times New Roman"/>
                <w:noProof/>
              </w:rPr>
              <w:t>1.4.</w:t>
            </w:r>
            <w:r>
              <w:rPr>
                <w:rFonts w:asciiTheme="minorHAnsi" w:hAnsiTheme="minorHAnsi"/>
                <w:noProof/>
                <w:lang w:eastAsia="it-IT"/>
              </w:rPr>
              <w:tab/>
            </w:r>
            <w:r w:rsidRPr="004173FD">
              <w:rPr>
                <w:rStyle w:val="Collegamentoipertestuale"/>
                <w:rFonts w:cs="Times New Roman"/>
                <w:noProof/>
              </w:rPr>
              <w:t>1980 – 1989: l’Europa cambia volto</w:t>
            </w:r>
            <w:r>
              <w:rPr>
                <w:noProof/>
                <w:webHidden/>
              </w:rPr>
              <w:tab/>
            </w:r>
            <w:r>
              <w:rPr>
                <w:noProof/>
                <w:webHidden/>
              </w:rPr>
              <w:fldChar w:fldCharType="begin"/>
            </w:r>
            <w:r>
              <w:rPr>
                <w:noProof/>
                <w:webHidden/>
              </w:rPr>
              <w:instrText xml:space="preserve"> PAGEREF _Toc475559351 \h </w:instrText>
            </w:r>
            <w:r>
              <w:rPr>
                <w:noProof/>
                <w:webHidden/>
              </w:rPr>
            </w:r>
            <w:r>
              <w:rPr>
                <w:noProof/>
                <w:webHidden/>
              </w:rPr>
              <w:fldChar w:fldCharType="separate"/>
            </w:r>
            <w:r>
              <w:rPr>
                <w:noProof/>
                <w:webHidden/>
              </w:rPr>
              <w:t>7</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52" w:history="1">
            <w:r w:rsidRPr="004173FD">
              <w:rPr>
                <w:rStyle w:val="Collegamentoipertestuale"/>
                <w:rFonts w:cs="Times New Roman"/>
                <w:noProof/>
              </w:rPr>
              <w:t>1.5.</w:t>
            </w:r>
            <w:r>
              <w:rPr>
                <w:rFonts w:asciiTheme="minorHAnsi" w:hAnsiTheme="minorHAnsi"/>
                <w:noProof/>
                <w:lang w:eastAsia="it-IT"/>
              </w:rPr>
              <w:tab/>
            </w:r>
            <w:r w:rsidRPr="004173FD">
              <w:rPr>
                <w:rStyle w:val="Collegamentoipertestuale"/>
                <w:rFonts w:cs="Times New Roman"/>
                <w:noProof/>
              </w:rPr>
              <w:t>1990 – 1999: uno spazio senza confini</w:t>
            </w:r>
            <w:r>
              <w:rPr>
                <w:noProof/>
                <w:webHidden/>
              </w:rPr>
              <w:tab/>
            </w:r>
            <w:r>
              <w:rPr>
                <w:noProof/>
                <w:webHidden/>
              </w:rPr>
              <w:fldChar w:fldCharType="begin"/>
            </w:r>
            <w:r>
              <w:rPr>
                <w:noProof/>
                <w:webHidden/>
              </w:rPr>
              <w:instrText xml:space="preserve"> PAGEREF _Toc475559352 \h </w:instrText>
            </w:r>
            <w:r>
              <w:rPr>
                <w:noProof/>
                <w:webHidden/>
              </w:rPr>
            </w:r>
            <w:r>
              <w:rPr>
                <w:noProof/>
                <w:webHidden/>
              </w:rPr>
              <w:fldChar w:fldCharType="separate"/>
            </w:r>
            <w:r>
              <w:rPr>
                <w:noProof/>
                <w:webHidden/>
              </w:rPr>
              <w:t>7</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53" w:history="1">
            <w:r w:rsidRPr="004173FD">
              <w:rPr>
                <w:rStyle w:val="Collegamentoipertestuale"/>
                <w:rFonts w:cs="Times New Roman"/>
                <w:noProof/>
              </w:rPr>
              <w:t>1.6.</w:t>
            </w:r>
            <w:r>
              <w:rPr>
                <w:rFonts w:asciiTheme="minorHAnsi" w:hAnsiTheme="minorHAnsi"/>
                <w:noProof/>
                <w:lang w:eastAsia="it-IT"/>
              </w:rPr>
              <w:tab/>
            </w:r>
            <w:r w:rsidRPr="004173FD">
              <w:rPr>
                <w:rStyle w:val="Collegamentoipertestuale"/>
                <w:rFonts w:cs="Times New Roman"/>
                <w:noProof/>
              </w:rPr>
              <w:t>2000 – 2009: Uniti resisteremo…</w:t>
            </w:r>
            <w:r>
              <w:rPr>
                <w:noProof/>
                <w:webHidden/>
              </w:rPr>
              <w:tab/>
            </w:r>
            <w:r>
              <w:rPr>
                <w:noProof/>
                <w:webHidden/>
              </w:rPr>
              <w:fldChar w:fldCharType="begin"/>
            </w:r>
            <w:r>
              <w:rPr>
                <w:noProof/>
                <w:webHidden/>
              </w:rPr>
              <w:instrText xml:space="preserve"> PAGEREF _Toc475559353 \h </w:instrText>
            </w:r>
            <w:r>
              <w:rPr>
                <w:noProof/>
                <w:webHidden/>
              </w:rPr>
            </w:r>
            <w:r>
              <w:rPr>
                <w:noProof/>
                <w:webHidden/>
              </w:rPr>
              <w:fldChar w:fldCharType="separate"/>
            </w:r>
            <w:r>
              <w:rPr>
                <w:noProof/>
                <w:webHidden/>
              </w:rPr>
              <w:t>8</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54" w:history="1">
            <w:r w:rsidRPr="004173FD">
              <w:rPr>
                <w:rStyle w:val="Collegamentoipertestuale"/>
                <w:rFonts w:cs="Times New Roman"/>
                <w:noProof/>
              </w:rPr>
              <w:t>1.7.</w:t>
            </w:r>
            <w:r>
              <w:rPr>
                <w:rFonts w:asciiTheme="minorHAnsi" w:hAnsiTheme="minorHAnsi"/>
                <w:noProof/>
                <w:lang w:eastAsia="it-IT"/>
              </w:rPr>
              <w:tab/>
            </w:r>
            <w:r w:rsidRPr="004173FD">
              <w:rPr>
                <w:rStyle w:val="Collegamentoipertestuale"/>
                <w:rFonts w:cs="Times New Roman"/>
                <w:noProof/>
              </w:rPr>
              <w:t>2010 – oggi: …divisi crolleremo?</w:t>
            </w:r>
            <w:r>
              <w:rPr>
                <w:noProof/>
                <w:webHidden/>
              </w:rPr>
              <w:tab/>
            </w:r>
            <w:r>
              <w:rPr>
                <w:noProof/>
                <w:webHidden/>
              </w:rPr>
              <w:fldChar w:fldCharType="begin"/>
            </w:r>
            <w:r>
              <w:rPr>
                <w:noProof/>
                <w:webHidden/>
              </w:rPr>
              <w:instrText xml:space="preserve"> PAGEREF _Toc475559354 \h </w:instrText>
            </w:r>
            <w:r>
              <w:rPr>
                <w:noProof/>
                <w:webHidden/>
              </w:rPr>
            </w:r>
            <w:r>
              <w:rPr>
                <w:noProof/>
                <w:webHidden/>
              </w:rPr>
              <w:fldChar w:fldCharType="separate"/>
            </w:r>
            <w:r>
              <w:rPr>
                <w:noProof/>
                <w:webHidden/>
              </w:rPr>
              <w:t>8</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55" w:history="1">
            <w:r w:rsidRPr="004173FD">
              <w:rPr>
                <w:rStyle w:val="Collegamentoipertestuale"/>
                <w:rFonts w:cs="Times New Roman"/>
                <w:noProof/>
              </w:rPr>
              <w:t>1.8.</w:t>
            </w:r>
            <w:r>
              <w:rPr>
                <w:rFonts w:asciiTheme="minorHAnsi" w:hAnsiTheme="minorHAnsi"/>
                <w:noProof/>
                <w:lang w:eastAsia="it-IT"/>
              </w:rPr>
              <w:tab/>
            </w:r>
            <w:r w:rsidRPr="004173FD">
              <w:rPr>
                <w:rStyle w:val="Collegamentoipertestuale"/>
                <w:rFonts w:cs="Times New Roman"/>
                <w:noProof/>
              </w:rPr>
              <w:t>Cameron e la Promessa fatale</w:t>
            </w:r>
            <w:r>
              <w:rPr>
                <w:noProof/>
                <w:webHidden/>
              </w:rPr>
              <w:tab/>
            </w:r>
            <w:r>
              <w:rPr>
                <w:noProof/>
                <w:webHidden/>
              </w:rPr>
              <w:fldChar w:fldCharType="begin"/>
            </w:r>
            <w:r>
              <w:rPr>
                <w:noProof/>
                <w:webHidden/>
              </w:rPr>
              <w:instrText xml:space="preserve"> PAGEREF _Toc475559355 \h </w:instrText>
            </w:r>
            <w:r>
              <w:rPr>
                <w:noProof/>
                <w:webHidden/>
              </w:rPr>
            </w:r>
            <w:r>
              <w:rPr>
                <w:noProof/>
                <w:webHidden/>
              </w:rPr>
              <w:fldChar w:fldCharType="separate"/>
            </w:r>
            <w:r>
              <w:rPr>
                <w:noProof/>
                <w:webHidden/>
              </w:rPr>
              <w:t>9</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56" w:history="1">
            <w:r w:rsidRPr="004173FD">
              <w:rPr>
                <w:rStyle w:val="Collegamentoipertestuale"/>
                <w:rFonts w:cs="Times New Roman"/>
                <w:noProof/>
              </w:rPr>
              <w:t>1.9.</w:t>
            </w:r>
            <w:r>
              <w:rPr>
                <w:rFonts w:asciiTheme="minorHAnsi" w:hAnsiTheme="minorHAnsi"/>
                <w:noProof/>
                <w:lang w:eastAsia="it-IT"/>
              </w:rPr>
              <w:tab/>
            </w:r>
            <w:r w:rsidRPr="004173FD">
              <w:rPr>
                <w:rStyle w:val="Collegamentoipertestuale"/>
                <w:rFonts w:cs="Times New Roman"/>
                <w:noProof/>
              </w:rPr>
              <w:t>Esiti politici del referendum</w:t>
            </w:r>
            <w:r>
              <w:rPr>
                <w:noProof/>
                <w:webHidden/>
              </w:rPr>
              <w:tab/>
            </w:r>
            <w:r>
              <w:rPr>
                <w:noProof/>
                <w:webHidden/>
              </w:rPr>
              <w:fldChar w:fldCharType="begin"/>
            </w:r>
            <w:r>
              <w:rPr>
                <w:noProof/>
                <w:webHidden/>
              </w:rPr>
              <w:instrText xml:space="preserve"> PAGEREF _Toc475559356 \h </w:instrText>
            </w:r>
            <w:r>
              <w:rPr>
                <w:noProof/>
                <w:webHidden/>
              </w:rPr>
            </w:r>
            <w:r>
              <w:rPr>
                <w:noProof/>
                <w:webHidden/>
              </w:rPr>
              <w:fldChar w:fldCharType="separate"/>
            </w:r>
            <w:r>
              <w:rPr>
                <w:noProof/>
                <w:webHidden/>
              </w:rPr>
              <w:t>11</w:t>
            </w:r>
            <w:r>
              <w:rPr>
                <w:noProof/>
                <w:webHidden/>
              </w:rPr>
              <w:fldChar w:fldCharType="end"/>
            </w:r>
          </w:hyperlink>
        </w:p>
        <w:p w:rsidR="00F65CED" w:rsidRDefault="00F65CED">
          <w:pPr>
            <w:pStyle w:val="Sommario1"/>
            <w:tabs>
              <w:tab w:val="left" w:pos="440"/>
              <w:tab w:val="right" w:leader="dot" w:pos="9060"/>
            </w:tabs>
            <w:rPr>
              <w:rFonts w:asciiTheme="minorHAnsi" w:hAnsiTheme="minorHAnsi"/>
              <w:noProof/>
              <w:lang w:eastAsia="it-IT"/>
            </w:rPr>
          </w:pPr>
          <w:hyperlink w:anchor="_Toc475559357" w:history="1">
            <w:r w:rsidRPr="004173FD">
              <w:rPr>
                <w:rStyle w:val="Collegamentoipertestuale"/>
                <w:rFonts w:cs="Times New Roman"/>
                <w:noProof/>
              </w:rPr>
              <w:t>2.</w:t>
            </w:r>
            <w:r>
              <w:rPr>
                <w:rFonts w:asciiTheme="minorHAnsi" w:hAnsiTheme="minorHAnsi"/>
                <w:noProof/>
                <w:lang w:eastAsia="it-IT"/>
              </w:rPr>
              <w:tab/>
            </w:r>
            <w:r w:rsidRPr="004173FD">
              <w:rPr>
                <w:rStyle w:val="Collegamentoipertestuale"/>
                <w:rFonts w:cs="Times New Roman"/>
                <w:noProof/>
              </w:rPr>
              <w:t>Effetti finanziari della Brexit</w:t>
            </w:r>
            <w:r>
              <w:rPr>
                <w:noProof/>
                <w:webHidden/>
              </w:rPr>
              <w:tab/>
            </w:r>
            <w:r>
              <w:rPr>
                <w:noProof/>
                <w:webHidden/>
              </w:rPr>
              <w:fldChar w:fldCharType="begin"/>
            </w:r>
            <w:r>
              <w:rPr>
                <w:noProof/>
                <w:webHidden/>
              </w:rPr>
              <w:instrText xml:space="preserve"> PAGEREF _Toc475559357 \h </w:instrText>
            </w:r>
            <w:r>
              <w:rPr>
                <w:noProof/>
                <w:webHidden/>
              </w:rPr>
            </w:r>
            <w:r>
              <w:rPr>
                <w:noProof/>
                <w:webHidden/>
              </w:rPr>
              <w:fldChar w:fldCharType="separate"/>
            </w:r>
            <w:r>
              <w:rPr>
                <w:noProof/>
                <w:webHidden/>
              </w:rPr>
              <w:t>13</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58" w:history="1">
            <w:r w:rsidRPr="004173FD">
              <w:rPr>
                <w:rStyle w:val="Collegamentoipertestuale"/>
                <w:rFonts w:cs="Times New Roman"/>
                <w:noProof/>
              </w:rPr>
              <w:t>2.1.</w:t>
            </w:r>
            <w:r>
              <w:rPr>
                <w:rFonts w:asciiTheme="minorHAnsi" w:hAnsiTheme="minorHAnsi"/>
                <w:noProof/>
                <w:lang w:eastAsia="it-IT"/>
              </w:rPr>
              <w:tab/>
            </w:r>
            <w:r w:rsidRPr="004173FD">
              <w:rPr>
                <w:rStyle w:val="Collegamentoipertestuale"/>
                <w:rFonts w:cs="Times New Roman"/>
                <w:noProof/>
              </w:rPr>
              <w:t>Possibili scenari futuri</w:t>
            </w:r>
            <w:r>
              <w:rPr>
                <w:noProof/>
                <w:webHidden/>
              </w:rPr>
              <w:tab/>
            </w:r>
            <w:r>
              <w:rPr>
                <w:noProof/>
                <w:webHidden/>
              </w:rPr>
              <w:fldChar w:fldCharType="begin"/>
            </w:r>
            <w:r>
              <w:rPr>
                <w:noProof/>
                <w:webHidden/>
              </w:rPr>
              <w:instrText xml:space="preserve"> PAGEREF _Toc475559358 \h </w:instrText>
            </w:r>
            <w:r>
              <w:rPr>
                <w:noProof/>
                <w:webHidden/>
              </w:rPr>
            </w:r>
            <w:r>
              <w:rPr>
                <w:noProof/>
                <w:webHidden/>
              </w:rPr>
              <w:fldChar w:fldCharType="separate"/>
            </w:r>
            <w:r>
              <w:rPr>
                <w:noProof/>
                <w:webHidden/>
              </w:rPr>
              <w:t>13</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59" w:history="1">
            <w:r w:rsidRPr="004173FD">
              <w:rPr>
                <w:rStyle w:val="Collegamentoipertestuale"/>
                <w:rFonts w:cs="Times New Roman"/>
                <w:noProof/>
              </w:rPr>
              <w:t>2.2.</w:t>
            </w:r>
            <w:r>
              <w:rPr>
                <w:rFonts w:asciiTheme="minorHAnsi" w:hAnsiTheme="minorHAnsi"/>
                <w:noProof/>
                <w:lang w:eastAsia="it-IT"/>
              </w:rPr>
              <w:tab/>
            </w:r>
            <w:r w:rsidRPr="004173FD">
              <w:rPr>
                <w:rStyle w:val="Collegamentoipertestuale"/>
                <w:rFonts w:cs="Times New Roman"/>
                <w:noProof/>
              </w:rPr>
              <w:t>Una bilancia commerciale storicamente negativa</w:t>
            </w:r>
            <w:r>
              <w:rPr>
                <w:noProof/>
                <w:webHidden/>
              </w:rPr>
              <w:tab/>
            </w:r>
            <w:r>
              <w:rPr>
                <w:noProof/>
                <w:webHidden/>
              </w:rPr>
              <w:fldChar w:fldCharType="begin"/>
            </w:r>
            <w:r>
              <w:rPr>
                <w:noProof/>
                <w:webHidden/>
              </w:rPr>
              <w:instrText xml:space="preserve"> PAGEREF _Toc475559359 \h </w:instrText>
            </w:r>
            <w:r>
              <w:rPr>
                <w:noProof/>
                <w:webHidden/>
              </w:rPr>
            </w:r>
            <w:r>
              <w:rPr>
                <w:noProof/>
                <w:webHidden/>
              </w:rPr>
              <w:fldChar w:fldCharType="separate"/>
            </w:r>
            <w:r>
              <w:rPr>
                <w:noProof/>
                <w:webHidden/>
              </w:rPr>
              <w:t>15</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60" w:history="1">
            <w:r w:rsidRPr="004173FD">
              <w:rPr>
                <w:rStyle w:val="Collegamentoipertestuale"/>
                <w:rFonts w:cs="Times New Roman"/>
                <w:noProof/>
              </w:rPr>
              <w:t>2.3.</w:t>
            </w:r>
            <w:r>
              <w:rPr>
                <w:rFonts w:asciiTheme="minorHAnsi" w:hAnsiTheme="minorHAnsi"/>
                <w:noProof/>
                <w:lang w:eastAsia="it-IT"/>
              </w:rPr>
              <w:tab/>
            </w:r>
            <w:r w:rsidRPr="004173FD">
              <w:rPr>
                <w:rStyle w:val="Collegamentoipertestuale"/>
                <w:rFonts w:cs="Times New Roman"/>
                <w:noProof/>
              </w:rPr>
              <w:t>Il paradosso giapponese e la magia del cambio variabile</w:t>
            </w:r>
            <w:r>
              <w:rPr>
                <w:noProof/>
                <w:webHidden/>
              </w:rPr>
              <w:tab/>
            </w:r>
            <w:r>
              <w:rPr>
                <w:noProof/>
                <w:webHidden/>
              </w:rPr>
              <w:fldChar w:fldCharType="begin"/>
            </w:r>
            <w:r>
              <w:rPr>
                <w:noProof/>
                <w:webHidden/>
              </w:rPr>
              <w:instrText xml:space="preserve"> PAGEREF _Toc475559360 \h </w:instrText>
            </w:r>
            <w:r>
              <w:rPr>
                <w:noProof/>
                <w:webHidden/>
              </w:rPr>
            </w:r>
            <w:r>
              <w:rPr>
                <w:noProof/>
                <w:webHidden/>
              </w:rPr>
              <w:fldChar w:fldCharType="separate"/>
            </w:r>
            <w:r>
              <w:rPr>
                <w:noProof/>
                <w:webHidden/>
              </w:rPr>
              <w:t>19</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61" w:history="1">
            <w:r w:rsidRPr="004173FD">
              <w:rPr>
                <w:rStyle w:val="Collegamentoipertestuale"/>
                <w:noProof/>
              </w:rPr>
              <w:t>2.4.</w:t>
            </w:r>
            <w:r>
              <w:rPr>
                <w:rFonts w:asciiTheme="minorHAnsi" w:hAnsiTheme="minorHAnsi"/>
                <w:noProof/>
                <w:lang w:eastAsia="it-IT"/>
              </w:rPr>
              <w:tab/>
            </w:r>
            <w:r w:rsidRPr="004173FD">
              <w:rPr>
                <w:rStyle w:val="Collegamentoipertestuale"/>
                <w:noProof/>
              </w:rPr>
              <w:t>Bank of England e la sua politica monetaria</w:t>
            </w:r>
            <w:r>
              <w:rPr>
                <w:noProof/>
                <w:webHidden/>
              </w:rPr>
              <w:tab/>
            </w:r>
            <w:r>
              <w:rPr>
                <w:noProof/>
                <w:webHidden/>
              </w:rPr>
              <w:fldChar w:fldCharType="begin"/>
            </w:r>
            <w:r>
              <w:rPr>
                <w:noProof/>
                <w:webHidden/>
              </w:rPr>
              <w:instrText xml:space="preserve"> PAGEREF _Toc475559361 \h </w:instrText>
            </w:r>
            <w:r>
              <w:rPr>
                <w:noProof/>
                <w:webHidden/>
              </w:rPr>
            </w:r>
            <w:r>
              <w:rPr>
                <w:noProof/>
                <w:webHidden/>
              </w:rPr>
              <w:fldChar w:fldCharType="separate"/>
            </w:r>
            <w:r>
              <w:rPr>
                <w:noProof/>
                <w:webHidden/>
              </w:rPr>
              <w:t>21</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62" w:history="1">
            <w:r w:rsidRPr="004173FD">
              <w:rPr>
                <w:rStyle w:val="Collegamentoipertestuale"/>
                <w:noProof/>
              </w:rPr>
              <w:t>2.5.</w:t>
            </w:r>
            <w:r>
              <w:rPr>
                <w:rFonts w:asciiTheme="minorHAnsi" w:hAnsiTheme="minorHAnsi"/>
                <w:noProof/>
                <w:lang w:eastAsia="it-IT"/>
              </w:rPr>
              <w:tab/>
            </w:r>
            <w:r w:rsidRPr="004173FD">
              <w:rPr>
                <w:rStyle w:val="Collegamentoipertestuale"/>
                <w:noProof/>
              </w:rPr>
              <w:t>La bilancia dei pagamenti (BoP) inglese</w:t>
            </w:r>
            <w:r>
              <w:rPr>
                <w:noProof/>
                <w:webHidden/>
              </w:rPr>
              <w:tab/>
            </w:r>
            <w:r>
              <w:rPr>
                <w:noProof/>
                <w:webHidden/>
              </w:rPr>
              <w:fldChar w:fldCharType="begin"/>
            </w:r>
            <w:r>
              <w:rPr>
                <w:noProof/>
                <w:webHidden/>
              </w:rPr>
              <w:instrText xml:space="preserve"> PAGEREF _Toc475559362 \h </w:instrText>
            </w:r>
            <w:r>
              <w:rPr>
                <w:noProof/>
                <w:webHidden/>
              </w:rPr>
            </w:r>
            <w:r>
              <w:rPr>
                <w:noProof/>
                <w:webHidden/>
              </w:rPr>
              <w:fldChar w:fldCharType="separate"/>
            </w:r>
            <w:r>
              <w:rPr>
                <w:noProof/>
                <w:webHidden/>
              </w:rPr>
              <w:t>23</w:t>
            </w:r>
            <w:r>
              <w:rPr>
                <w:noProof/>
                <w:webHidden/>
              </w:rPr>
              <w:fldChar w:fldCharType="end"/>
            </w:r>
          </w:hyperlink>
        </w:p>
        <w:p w:rsidR="00F65CED" w:rsidRDefault="00F65CED">
          <w:pPr>
            <w:pStyle w:val="Sommario3"/>
            <w:tabs>
              <w:tab w:val="left" w:pos="1320"/>
              <w:tab w:val="right" w:leader="dot" w:pos="9060"/>
            </w:tabs>
            <w:rPr>
              <w:rFonts w:asciiTheme="minorHAnsi" w:hAnsiTheme="minorHAnsi"/>
              <w:noProof/>
              <w:lang w:eastAsia="it-IT"/>
            </w:rPr>
          </w:pPr>
          <w:hyperlink w:anchor="_Toc475559363" w:history="1">
            <w:r w:rsidRPr="004173FD">
              <w:rPr>
                <w:rStyle w:val="Collegamentoipertestuale"/>
                <w:noProof/>
              </w:rPr>
              <w:t>2.5.1.</w:t>
            </w:r>
            <w:r>
              <w:rPr>
                <w:rFonts w:asciiTheme="minorHAnsi" w:hAnsiTheme="minorHAnsi"/>
                <w:noProof/>
                <w:lang w:eastAsia="it-IT"/>
              </w:rPr>
              <w:tab/>
            </w:r>
            <w:r w:rsidRPr="004173FD">
              <w:rPr>
                <w:rStyle w:val="Collegamentoipertestuale"/>
                <w:noProof/>
              </w:rPr>
              <w:t>Conto corrente</w:t>
            </w:r>
            <w:r>
              <w:rPr>
                <w:noProof/>
                <w:webHidden/>
              </w:rPr>
              <w:tab/>
            </w:r>
            <w:r>
              <w:rPr>
                <w:noProof/>
                <w:webHidden/>
              </w:rPr>
              <w:fldChar w:fldCharType="begin"/>
            </w:r>
            <w:r>
              <w:rPr>
                <w:noProof/>
                <w:webHidden/>
              </w:rPr>
              <w:instrText xml:space="preserve"> PAGEREF _Toc475559363 \h </w:instrText>
            </w:r>
            <w:r>
              <w:rPr>
                <w:noProof/>
                <w:webHidden/>
              </w:rPr>
            </w:r>
            <w:r>
              <w:rPr>
                <w:noProof/>
                <w:webHidden/>
              </w:rPr>
              <w:fldChar w:fldCharType="separate"/>
            </w:r>
            <w:r>
              <w:rPr>
                <w:noProof/>
                <w:webHidden/>
              </w:rPr>
              <w:t>24</w:t>
            </w:r>
            <w:r>
              <w:rPr>
                <w:noProof/>
                <w:webHidden/>
              </w:rPr>
              <w:fldChar w:fldCharType="end"/>
            </w:r>
          </w:hyperlink>
        </w:p>
        <w:p w:rsidR="00F65CED" w:rsidRDefault="00F65CED">
          <w:pPr>
            <w:pStyle w:val="Sommario1"/>
            <w:tabs>
              <w:tab w:val="left" w:pos="440"/>
              <w:tab w:val="right" w:leader="dot" w:pos="9060"/>
            </w:tabs>
            <w:rPr>
              <w:rFonts w:asciiTheme="minorHAnsi" w:hAnsiTheme="minorHAnsi"/>
              <w:noProof/>
              <w:lang w:eastAsia="it-IT"/>
            </w:rPr>
          </w:pPr>
          <w:hyperlink w:anchor="_Toc475559364" w:history="1">
            <w:r w:rsidRPr="004173FD">
              <w:rPr>
                <w:rStyle w:val="Collegamentoipertestuale"/>
                <w:noProof/>
              </w:rPr>
              <w:t>3.</w:t>
            </w:r>
            <w:r>
              <w:rPr>
                <w:rFonts w:asciiTheme="minorHAnsi" w:hAnsiTheme="minorHAnsi"/>
                <w:noProof/>
                <w:lang w:eastAsia="it-IT"/>
              </w:rPr>
              <w:tab/>
            </w:r>
            <w:r w:rsidRPr="004173FD">
              <w:rPr>
                <w:rStyle w:val="Collegamentoipertestuale"/>
                <w:noProof/>
              </w:rPr>
              <w:t>Effetti reali della Brexit</w:t>
            </w:r>
            <w:r>
              <w:rPr>
                <w:noProof/>
                <w:webHidden/>
              </w:rPr>
              <w:tab/>
            </w:r>
            <w:r>
              <w:rPr>
                <w:noProof/>
                <w:webHidden/>
              </w:rPr>
              <w:fldChar w:fldCharType="begin"/>
            </w:r>
            <w:r>
              <w:rPr>
                <w:noProof/>
                <w:webHidden/>
              </w:rPr>
              <w:instrText xml:space="preserve"> PAGEREF _Toc475559364 \h </w:instrText>
            </w:r>
            <w:r>
              <w:rPr>
                <w:noProof/>
                <w:webHidden/>
              </w:rPr>
            </w:r>
            <w:r>
              <w:rPr>
                <w:noProof/>
                <w:webHidden/>
              </w:rPr>
              <w:fldChar w:fldCharType="separate"/>
            </w:r>
            <w:r>
              <w:rPr>
                <w:noProof/>
                <w:webHidden/>
              </w:rPr>
              <w:t>27</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65" w:history="1">
            <w:r w:rsidRPr="004173FD">
              <w:rPr>
                <w:rStyle w:val="Collegamentoipertestuale"/>
                <w:noProof/>
              </w:rPr>
              <w:t>3.1.</w:t>
            </w:r>
            <w:r>
              <w:rPr>
                <w:rFonts w:asciiTheme="minorHAnsi" w:hAnsiTheme="minorHAnsi"/>
                <w:noProof/>
                <w:lang w:eastAsia="it-IT"/>
              </w:rPr>
              <w:tab/>
            </w:r>
            <w:r w:rsidRPr="004173FD">
              <w:rPr>
                <w:rStyle w:val="Collegamentoipertestuale"/>
                <w:noProof/>
              </w:rPr>
              <w:t>Un mercato del lavoro in fermento</w:t>
            </w:r>
            <w:r>
              <w:rPr>
                <w:noProof/>
                <w:webHidden/>
              </w:rPr>
              <w:tab/>
            </w:r>
            <w:r>
              <w:rPr>
                <w:noProof/>
                <w:webHidden/>
              </w:rPr>
              <w:fldChar w:fldCharType="begin"/>
            </w:r>
            <w:r>
              <w:rPr>
                <w:noProof/>
                <w:webHidden/>
              </w:rPr>
              <w:instrText xml:space="preserve"> PAGEREF _Toc475559365 \h </w:instrText>
            </w:r>
            <w:r>
              <w:rPr>
                <w:noProof/>
                <w:webHidden/>
              </w:rPr>
            </w:r>
            <w:r>
              <w:rPr>
                <w:noProof/>
                <w:webHidden/>
              </w:rPr>
              <w:fldChar w:fldCharType="separate"/>
            </w:r>
            <w:r>
              <w:rPr>
                <w:noProof/>
                <w:webHidden/>
              </w:rPr>
              <w:t>27</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66" w:history="1">
            <w:r w:rsidRPr="004173FD">
              <w:rPr>
                <w:rStyle w:val="Collegamentoipertestuale"/>
                <w:noProof/>
              </w:rPr>
              <w:t>3.2.</w:t>
            </w:r>
            <w:r>
              <w:rPr>
                <w:rFonts w:asciiTheme="minorHAnsi" w:hAnsiTheme="minorHAnsi"/>
                <w:noProof/>
                <w:lang w:eastAsia="it-IT"/>
              </w:rPr>
              <w:tab/>
            </w:r>
            <w:r w:rsidRPr="004173FD">
              <w:rPr>
                <w:rStyle w:val="Collegamentoipertestuale"/>
                <w:noProof/>
              </w:rPr>
              <w:t>Un PIL inaspettato</w:t>
            </w:r>
            <w:r>
              <w:rPr>
                <w:noProof/>
                <w:webHidden/>
              </w:rPr>
              <w:tab/>
            </w:r>
            <w:r>
              <w:rPr>
                <w:noProof/>
                <w:webHidden/>
              </w:rPr>
              <w:fldChar w:fldCharType="begin"/>
            </w:r>
            <w:r>
              <w:rPr>
                <w:noProof/>
                <w:webHidden/>
              </w:rPr>
              <w:instrText xml:space="preserve"> PAGEREF _Toc475559366 \h </w:instrText>
            </w:r>
            <w:r>
              <w:rPr>
                <w:noProof/>
                <w:webHidden/>
              </w:rPr>
            </w:r>
            <w:r>
              <w:rPr>
                <w:noProof/>
                <w:webHidden/>
              </w:rPr>
              <w:fldChar w:fldCharType="separate"/>
            </w:r>
            <w:r>
              <w:rPr>
                <w:noProof/>
                <w:webHidden/>
              </w:rPr>
              <w:t>29</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67" w:history="1">
            <w:r w:rsidRPr="004173FD">
              <w:rPr>
                <w:rStyle w:val="Collegamentoipertestuale"/>
                <w:noProof/>
              </w:rPr>
              <w:t>3.3.</w:t>
            </w:r>
            <w:r>
              <w:rPr>
                <w:rFonts w:asciiTheme="minorHAnsi" w:hAnsiTheme="minorHAnsi"/>
                <w:noProof/>
                <w:lang w:eastAsia="it-IT"/>
              </w:rPr>
              <w:tab/>
            </w:r>
            <w:r w:rsidRPr="004173FD">
              <w:rPr>
                <w:rStyle w:val="Collegamentoipertestuale"/>
                <w:noProof/>
              </w:rPr>
              <w:t>Consumi e debiti, binomio inglese</w:t>
            </w:r>
            <w:r>
              <w:rPr>
                <w:noProof/>
                <w:webHidden/>
              </w:rPr>
              <w:tab/>
            </w:r>
            <w:r>
              <w:rPr>
                <w:noProof/>
                <w:webHidden/>
              </w:rPr>
              <w:fldChar w:fldCharType="begin"/>
            </w:r>
            <w:r>
              <w:rPr>
                <w:noProof/>
                <w:webHidden/>
              </w:rPr>
              <w:instrText xml:space="preserve"> PAGEREF _Toc475559367 \h </w:instrText>
            </w:r>
            <w:r>
              <w:rPr>
                <w:noProof/>
                <w:webHidden/>
              </w:rPr>
            </w:r>
            <w:r>
              <w:rPr>
                <w:noProof/>
                <w:webHidden/>
              </w:rPr>
              <w:fldChar w:fldCharType="separate"/>
            </w:r>
            <w:r>
              <w:rPr>
                <w:noProof/>
                <w:webHidden/>
              </w:rPr>
              <w:t>31</w:t>
            </w:r>
            <w:r>
              <w:rPr>
                <w:noProof/>
                <w:webHidden/>
              </w:rPr>
              <w:fldChar w:fldCharType="end"/>
            </w:r>
          </w:hyperlink>
        </w:p>
        <w:p w:rsidR="00F65CED" w:rsidRDefault="00F65CED">
          <w:pPr>
            <w:pStyle w:val="Sommario2"/>
            <w:tabs>
              <w:tab w:val="left" w:pos="880"/>
              <w:tab w:val="right" w:leader="dot" w:pos="9060"/>
            </w:tabs>
            <w:rPr>
              <w:rFonts w:asciiTheme="minorHAnsi" w:hAnsiTheme="minorHAnsi"/>
              <w:noProof/>
              <w:lang w:eastAsia="it-IT"/>
            </w:rPr>
          </w:pPr>
          <w:hyperlink w:anchor="_Toc475559368" w:history="1">
            <w:r w:rsidRPr="004173FD">
              <w:rPr>
                <w:rStyle w:val="Collegamentoipertestuale"/>
                <w:noProof/>
              </w:rPr>
              <w:t>3.4.</w:t>
            </w:r>
            <w:r>
              <w:rPr>
                <w:rFonts w:asciiTheme="minorHAnsi" w:hAnsiTheme="minorHAnsi"/>
                <w:noProof/>
                <w:lang w:eastAsia="it-IT"/>
              </w:rPr>
              <w:tab/>
            </w:r>
            <w:r w:rsidRPr="004173FD">
              <w:rPr>
                <w:rStyle w:val="Collegamentoipertestuale"/>
                <w:noProof/>
              </w:rPr>
              <w:t>La Brexit nella vita di tutti i giorni</w:t>
            </w:r>
            <w:r>
              <w:rPr>
                <w:noProof/>
                <w:webHidden/>
              </w:rPr>
              <w:tab/>
            </w:r>
            <w:r>
              <w:rPr>
                <w:noProof/>
                <w:webHidden/>
              </w:rPr>
              <w:fldChar w:fldCharType="begin"/>
            </w:r>
            <w:r>
              <w:rPr>
                <w:noProof/>
                <w:webHidden/>
              </w:rPr>
              <w:instrText xml:space="preserve"> PAGEREF _Toc475559368 \h </w:instrText>
            </w:r>
            <w:r>
              <w:rPr>
                <w:noProof/>
                <w:webHidden/>
              </w:rPr>
            </w:r>
            <w:r>
              <w:rPr>
                <w:noProof/>
                <w:webHidden/>
              </w:rPr>
              <w:fldChar w:fldCharType="separate"/>
            </w:r>
            <w:r>
              <w:rPr>
                <w:noProof/>
                <w:webHidden/>
              </w:rPr>
              <w:t>32</w:t>
            </w:r>
            <w:r>
              <w:rPr>
                <w:noProof/>
                <w:webHidden/>
              </w:rPr>
              <w:fldChar w:fldCharType="end"/>
            </w:r>
          </w:hyperlink>
        </w:p>
        <w:p w:rsidR="00F65CED" w:rsidRDefault="00F65CED">
          <w:pPr>
            <w:pStyle w:val="Sommario1"/>
            <w:tabs>
              <w:tab w:val="left" w:pos="440"/>
              <w:tab w:val="right" w:leader="dot" w:pos="9060"/>
            </w:tabs>
            <w:rPr>
              <w:rFonts w:asciiTheme="minorHAnsi" w:hAnsiTheme="minorHAnsi"/>
              <w:noProof/>
              <w:lang w:eastAsia="it-IT"/>
            </w:rPr>
          </w:pPr>
          <w:hyperlink w:anchor="_Toc475559369" w:history="1">
            <w:r w:rsidRPr="004173FD">
              <w:rPr>
                <w:rStyle w:val="Collegamentoipertestuale"/>
                <w:noProof/>
              </w:rPr>
              <w:t>4.</w:t>
            </w:r>
            <w:r>
              <w:rPr>
                <w:rFonts w:asciiTheme="minorHAnsi" w:hAnsiTheme="minorHAnsi"/>
                <w:noProof/>
                <w:lang w:eastAsia="it-IT"/>
              </w:rPr>
              <w:tab/>
            </w:r>
            <w:r w:rsidRPr="004173FD">
              <w:rPr>
                <w:rStyle w:val="Collegamentoipertestuale"/>
                <w:noProof/>
              </w:rPr>
              <w:t>Conclusioni</w:t>
            </w:r>
            <w:r>
              <w:rPr>
                <w:noProof/>
                <w:webHidden/>
              </w:rPr>
              <w:tab/>
            </w:r>
            <w:r>
              <w:rPr>
                <w:noProof/>
                <w:webHidden/>
              </w:rPr>
              <w:fldChar w:fldCharType="begin"/>
            </w:r>
            <w:r>
              <w:rPr>
                <w:noProof/>
                <w:webHidden/>
              </w:rPr>
              <w:instrText xml:space="preserve"> PAGEREF _Toc475559369 \h </w:instrText>
            </w:r>
            <w:r>
              <w:rPr>
                <w:noProof/>
                <w:webHidden/>
              </w:rPr>
            </w:r>
            <w:r>
              <w:rPr>
                <w:noProof/>
                <w:webHidden/>
              </w:rPr>
              <w:fldChar w:fldCharType="separate"/>
            </w:r>
            <w:r>
              <w:rPr>
                <w:noProof/>
                <w:webHidden/>
              </w:rPr>
              <w:t>35</w:t>
            </w:r>
            <w:r>
              <w:rPr>
                <w:noProof/>
                <w:webHidden/>
              </w:rPr>
              <w:fldChar w:fldCharType="end"/>
            </w:r>
          </w:hyperlink>
        </w:p>
        <w:p w:rsidR="00F65CED" w:rsidRDefault="00F65CED">
          <w:pPr>
            <w:pStyle w:val="Sommario1"/>
            <w:tabs>
              <w:tab w:val="left" w:pos="440"/>
              <w:tab w:val="right" w:leader="dot" w:pos="9060"/>
            </w:tabs>
            <w:rPr>
              <w:rFonts w:asciiTheme="minorHAnsi" w:hAnsiTheme="minorHAnsi"/>
              <w:noProof/>
              <w:lang w:eastAsia="it-IT"/>
            </w:rPr>
          </w:pPr>
          <w:hyperlink w:anchor="_Toc475559370" w:history="1">
            <w:r w:rsidRPr="004173FD">
              <w:rPr>
                <w:rStyle w:val="Collegamentoipertestuale"/>
                <w:noProof/>
              </w:rPr>
              <w:t>5.</w:t>
            </w:r>
            <w:r>
              <w:rPr>
                <w:rFonts w:asciiTheme="minorHAnsi" w:hAnsiTheme="minorHAnsi"/>
                <w:noProof/>
                <w:lang w:eastAsia="it-IT"/>
              </w:rPr>
              <w:tab/>
            </w:r>
            <w:r w:rsidRPr="004173FD">
              <w:rPr>
                <w:rStyle w:val="Collegamentoipertestuale"/>
                <w:noProof/>
              </w:rPr>
              <w:t>Ringraziamenti</w:t>
            </w:r>
            <w:r>
              <w:rPr>
                <w:noProof/>
                <w:webHidden/>
              </w:rPr>
              <w:tab/>
            </w:r>
            <w:r>
              <w:rPr>
                <w:noProof/>
                <w:webHidden/>
              </w:rPr>
              <w:fldChar w:fldCharType="begin"/>
            </w:r>
            <w:r>
              <w:rPr>
                <w:noProof/>
                <w:webHidden/>
              </w:rPr>
              <w:instrText xml:space="preserve"> PAGEREF _Toc475559370 \h </w:instrText>
            </w:r>
            <w:r>
              <w:rPr>
                <w:noProof/>
                <w:webHidden/>
              </w:rPr>
            </w:r>
            <w:r>
              <w:rPr>
                <w:noProof/>
                <w:webHidden/>
              </w:rPr>
              <w:fldChar w:fldCharType="separate"/>
            </w:r>
            <w:r>
              <w:rPr>
                <w:noProof/>
                <w:webHidden/>
              </w:rPr>
              <w:t>37</w:t>
            </w:r>
            <w:r>
              <w:rPr>
                <w:noProof/>
                <w:webHidden/>
              </w:rPr>
              <w:fldChar w:fldCharType="end"/>
            </w:r>
          </w:hyperlink>
        </w:p>
        <w:p w:rsidR="00F65CED" w:rsidRDefault="00F65CED">
          <w:pPr>
            <w:pStyle w:val="Sommario1"/>
            <w:tabs>
              <w:tab w:val="right" w:leader="dot" w:pos="9060"/>
            </w:tabs>
            <w:rPr>
              <w:rFonts w:asciiTheme="minorHAnsi" w:hAnsiTheme="minorHAnsi"/>
              <w:noProof/>
              <w:lang w:eastAsia="it-IT"/>
            </w:rPr>
          </w:pPr>
          <w:hyperlink w:anchor="_Toc475559371" w:history="1">
            <w:r w:rsidRPr="004173FD">
              <w:rPr>
                <w:rStyle w:val="Collegamentoipertestuale"/>
                <w:rFonts w:cs="Times New Roman"/>
                <w:noProof/>
              </w:rPr>
              <w:t>Bibliografia</w:t>
            </w:r>
            <w:r>
              <w:rPr>
                <w:noProof/>
                <w:webHidden/>
              </w:rPr>
              <w:tab/>
            </w:r>
            <w:r>
              <w:rPr>
                <w:noProof/>
                <w:webHidden/>
              </w:rPr>
              <w:fldChar w:fldCharType="begin"/>
            </w:r>
            <w:r>
              <w:rPr>
                <w:noProof/>
                <w:webHidden/>
              </w:rPr>
              <w:instrText xml:space="preserve"> PAGEREF _Toc475559371 \h </w:instrText>
            </w:r>
            <w:r>
              <w:rPr>
                <w:noProof/>
                <w:webHidden/>
              </w:rPr>
            </w:r>
            <w:r>
              <w:rPr>
                <w:noProof/>
                <w:webHidden/>
              </w:rPr>
              <w:fldChar w:fldCharType="separate"/>
            </w:r>
            <w:r>
              <w:rPr>
                <w:noProof/>
                <w:webHidden/>
              </w:rPr>
              <w:t>39</w:t>
            </w:r>
            <w:r>
              <w:rPr>
                <w:noProof/>
                <w:webHidden/>
              </w:rPr>
              <w:fldChar w:fldCharType="end"/>
            </w:r>
          </w:hyperlink>
        </w:p>
        <w:p w:rsidR="00F65CED" w:rsidRDefault="00F65CED">
          <w:pPr>
            <w:pStyle w:val="Sommario1"/>
            <w:tabs>
              <w:tab w:val="right" w:leader="dot" w:pos="9060"/>
            </w:tabs>
            <w:rPr>
              <w:rFonts w:asciiTheme="minorHAnsi" w:hAnsiTheme="minorHAnsi"/>
              <w:noProof/>
              <w:lang w:eastAsia="it-IT"/>
            </w:rPr>
          </w:pPr>
          <w:hyperlink w:anchor="_Toc475559372" w:history="1">
            <w:r w:rsidRPr="004173FD">
              <w:rPr>
                <w:rStyle w:val="Collegamentoipertestuale"/>
                <w:rFonts w:cs="Times New Roman"/>
                <w:noProof/>
              </w:rPr>
              <w:t>Sitografia</w:t>
            </w:r>
            <w:r>
              <w:rPr>
                <w:noProof/>
                <w:webHidden/>
              </w:rPr>
              <w:tab/>
            </w:r>
            <w:r>
              <w:rPr>
                <w:noProof/>
                <w:webHidden/>
              </w:rPr>
              <w:fldChar w:fldCharType="begin"/>
            </w:r>
            <w:r>
              <w:rPr>
                <w:noProof/>
                <w:webHidden/>
              </w:rPr>
              <w:instrText xml:space="preserve"> PAGEREF _Toc475559372 \h </w:instrText>
            </w:r>
            <w:r>
              <w:rPr>
                <w:noProof/>
                <w:webHidden/>
              </w:rPr>
            </w:r>
            <w:r>
              <w:rPr>
                <w:noProof/>
                <w:webHidden/>
              </w:rPr>
              <w:fldChar w:fldCharType="separate"/>
            </w:r>
            <w:r>
              <w:rPr>
                <w:noProof/>
                <w:webHidden/>
              </w:rPr>
              <w:t>40</w:t>
            </w:r>
            <w:r>
              <w:rPr>
                <w:noProof/>
                <w:webHidden/>
              </w:rPr>
              <w:fldChar w:fldCharType="end"/>
            </w:r>
          </w:hyperlink>
        </w:p>
        <w:p w:rsidR="00A65579" w:rsidRPr="00665924" w:rsidRDefault="00A65579" w:rsidP="00665924">
          <w:pPr>
            <w:spacing w:line="360" w:lineRule="auto"/>
            <w:ind w:firstLine="397"/>
            <w:jc w:val="both"/>
            <w:rPr>
              <w:rFonts w:cs="Times New Roman"/>
            </w:rPr>
          </w:pPr>
          <w:r w:rsidRPr="00665924">
            <w:rPr>
              <w:rFonts w:cs="Times New Roman"/>
              <w:b/>
              <w:bCs/>
            </w:rPr>
            <w:fldChar w:fldCharType="end"/>
          </w:r>
        </w:p>
      </w:sdtContent>
    </w:sdt>
    <w:p w:rsidR="00402E6A" w:rsidRDefault="00402E6A">
      <w:pPr>
        <w:rPr>
          <w:rFonts w:cs="Times New Roman"/>
        </w:rPr>
      </w:pPr>
      <w:r>
        <w:rPr>
          <w:rFonts w:cs="Times New Roman"/>
        </w:rPr>
        <w:br w:type="page"/>
      </w:r>
    </w:p>
    <w:p w:rsidR="00A65579" w:rsidRPr="00665924" w:rsidRDefault="00A65579" w:rsidP="00665924">
      <w:pPr>
        <w:spacing w:line="360" w:lineRule="auto"/>
        <w:ind w:firstLine="397"/>
        <w:jc w:val="both"/>
        <w:rPr>
          <w:rFonts w:cs="Times New Roman"/>
        </w:rPr>
      </w:pPr>
      <w:r w:rsidRPr="00665924">
        <w:rPr>
          <w:rFonts w:cs="Times New Roman"/>
        </w:rPr>
        <w:lastRenderedPageBreak/>
        <w:br w:type="page"/>
      </w:r>
    </w:p>
    <w:p w:rsidR="00233177" w:rsidRDefault="00A65579" w:rsidP="00665924">
      <w:pPr>
        <w:pStyle w:val="Titolo1"/>
        <w:numPr>
          <w:ilvl w:val="0"/>
          <w:numId w:val="2"/>
        </w:numPr>
        <w:spacing w:line="360" w:lineRule="auto"/>
        <w:ind w:left="0" w:firstLine="397"/>
        <w:jc w:val="both"/>
        <w:rPr>
          <w:rFonts w:cs="Times New Roman"/>
        </w:rPr>
      </w:pPr>
      <w:bookmarkStart w:id="1" w:name="_Toc475559347"/>
      <w:r w:rsidRPr="00665924">
        <w:rPr>
          <w:rFonts w:cs="Times New Roman"/>
        </w:rPr>
        <w:lastRenderedPageBreak/>
        <w:t xml:space="preserve">Storia </w:t>
      </w:r>
      <w:r w:rsidR="00451668" w:rsidRPr="00665924">
        <w:rPr>
          <w:rFonts w:cs="Times New Roman"/>
        </w:rPr>
        <w:t xml:space="preserve">dell’Unione Europea </w:t>
      </w:r>
      <w:r w:rsidR="00DB14BD" w:rsidRPr="00665924">
        <w:rPr>
          <w:rFonts w:cs="Times New Roman"/>
        </w:rPr>
        <w:t>e genesi del referendum</w:t>
      </w:r>
      <w:r w:rsidR="00451668" w:rsidRPr="00665924">
        <w:rPr>
          <w:rFonts w:cs="Times New Roman"/>
        </w:rPr>
        <w:t xml:space="preserve"> britannico</w:t>
      </w:r>
      <w:bookmarkEnd w:id="1"/>
    </w:p>
    <w:p w:rsidR="00B84145" w:rsidRPr="00B84145" w:rsidRDefault="00B84145" w:rsidP="00B84145"/>
    <w:p w:rsidR="008237D1" w:rsidRDefault="008237D1" w:rsidP="00665924">
      <w:pPr>
        <w:pStyle w:val="Titolo2"/>
        <w:numPr>
          <w:ilvl w:val="1"/>
          <w:numId w:val="3"/>
        </w:numPr>
        <w:spacing w:line="360" w:lineRule="auto"/>
        <w:ind w:left="0" w:firstLine="397"/>
        <w:jc w:val="both"/>
        <w:rPr>
          <w:rFonts w:cs="Times New Roman"/>
        </w:rPr>
      </w:pPr>
      <w:bookmarkStart w:id="2" w:name="_Toc475559348"/>
      <w:r w:rsidRPr="00665924">
        <w:rPr>
          <w:rFonts w:cs="Times New Roman"/>
        </w:rPr>
        <w:t>1945</w:t>
      </w:r>
      <w:r w:rsidR="001D7264" w:rsidRPr="00665924">
        <w:rPr>
          <w:rFonts w:cs="Times New Roman"/>
        </w:rPr>
        <w:t xml:space="preserve"> – </w:t>
      </w:r>
      <w:r w:rsidRPr="00665924">
        <w:rPr>
          <w:rFonts w:cs="Times New Roman"/>
        </w:rPr>
        <w:t>1959: i fantasmi del conflitto</w:t>
      </w:r>
      <w:bookmarkEnd w:id="2"/>
    </w:p>
    <w:p w:rsidR="00B84145" w:rsidRPr="00B84145" w:rsidRDefault="00B84145" w:rsidP="00B84145"/>
    <w:p w:rsidR="00265A7F" w:rsidRPr="00665924" w:rsidRDefault="00265A7F" w:rsidP="00665924">
      <w:pPr>
        <w:spacing w:line="360" w:lineRule="auto"/>
        <w:ind w:firstLine="397"/>
        <w:jc w:val="both"/>
        <w:rPr>
          <w:rFonts w:cs="Times New Roman"/>
          <w:sz w:val="24"/>
        </w:rPr>
      </w:pPr>
      <w:r w:rsidRPr="00665924">
        <w:rPr>
          <w:rFonts w:cs="Times New Roman"/>
          <w:sz w:val="24"/>
        </w:rPr>
        <w:t>2 settembre 1945, l’atto di resa giapponese pone fine alla Guerra del Pacifico e, ufficialmente, alla Seconda Guerra Mondiale. Le atrocità che si consumarono nel cinquantennio precedente iniziarono a creare un desiderio di aggregazione, di mutuo soccorso tra le potenze mondiali ed europee.</w:t>
      </w:r>
    </w:p>
    <w:p w:rsidR="00831AAE" w:rsidRPr="00665924" w:rsidRDefault="00831AAE" w:rsidP="00665924">
      <w:pPr>
        <w:spacing w:line="360" w:lineRule="auto"/>
        <w:ind w:firstLine="397"/>
        <w:jc w:val="both"/>
        <w:rPr>
          <w:rFonts w:cs="Times New Roman"/>
          <w:sz w:val="24"/>
        </w:rPr>
      </w:pPr>
      <w:r w:rsidRPr="00665924">
        <w:rPr>
          <w:rFonts w:cs="Times New Roman"/>
          <w:sz w:val="24"/>
        </w:rPr>
        <w:t xml:space="preserve">La CECA, Comunità Europea del Carbone e dell’Acciaio, fu la prima espressione di questa volontà solidaristica. Annunciata nel 1951 ed entrata in vigore l’anno successivo, questa neonata Unione racchiuse al suo interno Belgio, Francia, Germania, Italia, Lussemburgo e Paesi Bassi </w:t>
      </w:r>
      <w:r w:rsidR="00252380" w:rsidRPr="00665924">
        <w:rPr>
          <w:rFonts w:cs="Times New Roman"/>
          <w:sz w:val="24"/>
        </w:rPr>
        <w:t>affinché</w:t>
      </w:r>
      <w:r w:rsidRPr="00665924">
        <w:rPr>
          <w:rFonts w:cs="Times New Roman"/>
          <w:sz w:val="24"/>
        </w:rPr>
        <w:t xml:space="preserve"> “una qualsiasi guerra tra la Francia e la Germania diventi non solo impensabile, ma materialmente impossibile” (Robert </w:t>
      </w:r>
      <w:proofErr w:type="spellStart"/>
      <w:r w:rsidRPr="00665924">
        <w:rPr>
          <w:rFonts w:cs="Times New Roman"/>
          <w:sz w:val="24"/>
        </w:rPr>
        <w:t>Schuman</w:t>
      </w:r>
      <w:proofErr w:type="spellEnd"/>
      <w:r w:rsidRPr="00665924">
        <w:rPr>
          <w:rFonts w:cs="Times New Roman"/>
          <w:sz w:val="24"/>
        </w:rPr>
        <w:t xml:space="preserve">, </w:t>
      </w:r>
      <w:r w:rsidR="008A5388" w:rsidRPr="00665924">
        <w:rPr>
          <w:rFonts w:cs="Times New Roman"/>
          <w:sz w:val="24"/>
        </w:rPr>
        <w:t>9 maggio 1950).</w:t>
      </w:r>
    </w:p>
    <w:p w:rsidR="008237D1" w:rsidRPr="00665924" w:rsidRDefault="008A5388" w:rsidP="00665924">
      <w:pPr>
        <w:spacing w:line="360" w:lineRule="auto"/>
        <w:ind w:firstLine="397"/>
        <w:jc w:val="both"/>
        <w:rPr>
          <w:rFonts w:cs="Times New Roman"/>
          <w:sz w:val="24"/>
        </w:rPr>
      </w:pPr>
      <w:r w:rsidRPr="00665924">
        <w:rPr>
          <w:rFonts w:cs="Times New Roman"/>
          <w:sz w:val="24"/>
        </w:rPr>
        <w:t xml:space="preserve">Il malcontento mondiale, però, non venne fermato da questo primo spirito di </w:t>
      </w:r>
      <w:r w:rsidR="008237D1" w:rsidRPr="00665924">
        <w:rPr>
          <w:rFonts w:cs="Times New Roman"/>
          <w:sz w:val="24"/>
        </w:rPr>
        <w:t>cambiamento</w:t>
      </w:r>
      <w:r w:rsidRPr="00665924">
        <w:rPr>
          <w:rFonts w:cs="Times New Roman"/>
          <w:sz w:val="24"/>
        </w:rPr>
        <w:t xml:space="preserve">, come dimostrato dall’inizio della Guerra Fredda e dalle proteste in Ungheria contro il regime comunista, soppresse con la violenza da parte del Governo. La seconda risposta a questo oscuro vento divisionista fu la CEE, Comunità Economica Europea, entrata in vigore grazie ai Trattati di Roma del 1957 assieme alla </w:t>
      </w:r>
      <w:r w:rsidR="00252380" w:rsidRPr="00665924">
        <w:rPr>
          <w:rFonts w:cs="Times New Roman"/>
          <w:sz w:val="24"/>
        </w:rPr>
        <w:t>EURATOM</w:t>
      </w:r>
      <w:r w:rsidRPr="00665924">
        <w:rPr>
          <w:rFonts w:cs="Times New Roman"/>
          <w:sz w:val="24"/>
        </w:rPr>
        <w:t>, Comunità europea dell’energia atomica. La creazione del nuovo mercato comune e l’abolizione dei dazi doganali fu il primo passo verso i nostri giorni.</w:t>
      </w:r>
    </w:p>
    <w:p w:rsidR="00354D1E" w:rsidRDefault="00354D1E" w:rsidP="00665924">
      <w:pPr>
        <w:pStyle w:val="Titolo2"/>
        <w:numPr>
          <w:ilvl w:val="1"/>
          <w:numId w:val="3"/>
        </w:numPr>
        <w:spacing w:line="360" w:lineRule="auto"/>
        <w:ind w:left="0" w:firstLine="397"/>
        <w:jc w:val="both"/>
        <w:rPr>
          <w:rFonts w:cs="Times New Roman"/>
        </w:rPr>
      </w:pPr>
      <w:bookmarkStart w:id="3" w:name="_Toc475559349"/>
      <w:r w:rsidRPr="00665924">
        <w:rPr>
          <w:rFonts w:cs="Times New Roman"/>
        </w:rPr>
        <w:t>1960</w:t>
      </w:r>
      <w:r w:rsidR="001D7264" w:rsidRPr="00665924">
        <w:rPr>
          <w:rFonts w:cs="Times New Roman"/>
        </w:rPr>
        <w:t xml:space="preserve"> – </w:t>
      </w:r>
      <w:r w:rsidRPr="00665924">
        <w:rPr>
          <w:rFonts w:cs="Times New Roman"/>
        </w:rPr>
        <w:t>1969: venti di crescita</w:t>
      </w:r>
      <w:bookmarkEnd w:id="3"/>
    </w:p>
    <w:p w:rsidR="00B84145" w:rsidRPr="00B84145" w:rsidRDefault="00B84145" w:rsidP="00B84145"/>
    <w:p w:rsidR="00904E1D" w:rsidRPr="00665924" w:rsidRDefault="008237D1" w:rsidP="00665924">
      <w:pPr>
        <w:spacing w:line="360" w:lineRule="auto"/>
        <w:ind w:firstLine="397"/>
        <w:jc w:val="both"/>
        <w:rPr>
          <w:rFonts w:cs="Times New Roman"/>
          <w:sz w:val="24"/>
        </w:rPr>
      </w:pPr>
      <w:r w:rsidRPr="00665924">
        <w:rPr>
          <w:rFonts w:cs="Times New Roman"/>
          <w:sz w:val="24"/>
        </w:rPr>
        <w:t>Gli anni ’60 vedono germogliare i primi frutti della rinnovata speranza</w:t>
      </w:r>
      <w:r w:rsidR="00A42054" w:rsidRPr="00665924">
        <w:rPr>
          <w:rFonts w:cs="Times New Roman"/>
          <w:sz w:val="24"/>
        </w:rPr>
        <w:t xml:space="preserve"> europea</w:t>
      </w:r>
      <w:r w:rsidRPr="00665924">
        <w:rPr>
          <w:rFonts w:cs="Times New Roman"/>
          <w:sz w:val="24"/>
        </w:rPr>
        <w:t xml:space="preserve">. </w:t>
      </w:r>
      <w:r w:rsidR="00904E1D" w:rsidRPr="00665924">
        <w:rPr>
          <w:rFonts w:cs="Times New Roman"/>
          <w:sz w:val="24"/>
        </w:rPr>
        <w:t xml:space="preserve">L’elezione dei laburisti in Gran Bretagna nel 1945, la cui politica ispirata ai concetti socialisti portò all’abolizione dell’Impero coloniale, ormai insostenibile, e la creazione del Welfare state il cui scopo era quello di proteggere il cittadino “dalla culla alla tomba”, fu uno dei primi tasselli per la costruzione di un’Europa dedita alla protezione della persona. </w:t>
      </w:r>
      <w:r w:rsidR="009624A4" w:rsidRPr="00665924">
        <w:rPr>
          <w:rFonts w:cs="Times New Roman"/>
          <w:sz w:val="24"/>
        </w:rPr>
        <w:t>I governi del Vecchio Continente si videro ispirati da questo cambiamento, ammirando la gratuità delle cure mediche, l’indennità di disoccupazione, l’elevamento delle pensioni e il miglioramento dell’insegnamento pubblico.</w:t>
      </w:r>
    </w:p>
    <w:p w:rsidR="003F75FC" w:rsidRPr="00665924" w:rsidRDefault="00A77AA7" w:rsidP="00665924">
      <w:pPr>
        <w:spacing w:line="360" w:lineRule="auto"/>
        <w:ind w:firstLine="397"/>
        <w:jc w:val="both"/>
        <w:rPr>
          <w:rFonts w:cs="Times New Roman"/>
          <w:sz w:val="24"/>
        </w:rPr>
      </w:pPr>
      <w:r w:rsidRPr="00665924">
        <w:rPr>
          <w:rFonts w:cs="Times New Roman"/>
          <w:sz w:val="24"/>
        </w:rPr>
        <w:lastRenderedPageBreak/>
        <w:t>Le politiche keynesiane, adottate dagli anni ’50, di sostegno</w:t>
      </w:r>
      <w:r w:rsidR="008237D1" w:rsidRPr="00665924">
        <w:rPr>
          <w:rFonts w:cs="Times New Roman"/>
          <w:sz w:val="24"/>
        </w:rPr>
        <w:t xml:space="preserve"> </w:t>
      </w:r>
      <w:r w:rsidRPr="00665924">
        <w:rPr>
          <w:rFonts w:cs="Times New Roman"/>
          <w:sz w:val="24"/>
        </w:rPr>
        <w:t>al reddito e all’occupazione da parte dei governi crearono un’economia mista, non più ispirata dall’idea liberista del mercato riequilibrato da una mano invisibile ma da concetti di solidarietà e di sostegno della domanda. La nazionalizzazione di settori produttivi strategici come l’industria pesante in Gran Bretagna o l’energia elettrica in Italia sono un esempio di queste prime ingerenze pubbliche.</w:t>
      </w:r>
    </w:p>
    <w:tbl>
      <w:tblPr>
        <w:tblStyle w:val="Grigliatabella"/>
        <w:tblW w:w="5000" w:type="pct"/>
        <w:tblLook w:val="04A0" w:firstRow="1" w:lastRow="0" w:firstColumn="1" w:lastColumn="0" w:noHBand="0" w:noVBand="1"/>
      </w:tblPr>
      <w:tblGrid>
        <w:gridCol w:w="2166"/>
        <w:gridCol w:w="2298"/>
        <w:gridCol w:w="2673"/>
        <w:gridCol w:w="1923"/>
      </w:tblGrid>
      <w:tr w:rsidR="003F75FC" w:rsidRPr="00665924" w:rsidTr="00840E5F">
        <w:tc>
          <w:tcPr>
            <w:tcW w:w="5000" w:type="pct"/>
            <w:gridSpan w:val="4"/>
            <w:tcBorders>
              <w:top w:val="single" w:sz="4" w:space="0" w:color="FFFFFF" w:themeColor="background1"/>
              <w:left w:val="single" w:sz="4" w:space="0" w:color="FFFFFF" w:themeColor="background1"/>
              <w:right w:val="single" w:sz="4" w:space="0" w:color="FFFFFF" w:themeColor="background1"/>
            </w:tcBorders>
          </w:tcPr>
          <w:p w:rsidR="003F75FC" w:rsidRPr="00665924" w:rsidRDefault="003F75FC" w:rsidP="00665924">
            <w:pPr>
              <w:spacing w:line="360" w:lineRule="auto"/>
              <w:jc w:val="both"/>
              <w:rPr>
                <w:rFonts w:cs="Times New Roman"/>
                <w:i/>
              </w:rPr>
            </w:pPr>
            <w:proofErr w:type="spellStart"/>
            <w:r w:rsidRPr="00665924">
              <w:rPr>
                <w:rFonts w:cs="Times New Roman"/>
                <w:b/>
              </w:rPr>
              <w:t>Tab</w:t>
            </w:r>
            <w:proofErr w:type="spellEnd"/>
            <w:r w:rsidRPr="00665924">
              <w:rPr>
                <w:rFonts w:cs="Times New Roman"/>
                <w:b/>
              </w:rPr>
              <w:t xml:space="preserve"> 1.1</w:t>
            </w:r>
            <w:r w:rsidR="001010E7" w:rsidRPr="00665924">
              <w:rPr>
                <w:rFonts w:cs="Times New Roman"/>
              </w:rPr>
              <w:t xml:space="preserve"> </w:t>
            </w:r>
            <w:r w:rsidR="00281973">
              <w:rPr>
                <w:rFonts w:cs="Times New Roman"/>
              </w:rPr>
              <w:t xml:space="preserve">- </w:t>
            </w:r>
            <w:r w:rsidRPr="00665924">
              <w:rPr>
                <w:rFonts w:cs="Times New Roman"/>
                <w:i/>
              </w:rPr>
              <w:t>Tassi di crescita del PIL pro capite in Europa, 1950-1973</w:t>
            </w:r>
          </w:p>
        </w:tc>
      </w:tr>
      <w:tr w:rsidR="003F75FC" w:rsidRPr="00665924" w:rsidTr="003F75FC">
        <w:tc>
          <w:tcPr>
            <w:tcW w:w="1196" w:type="pct"/>
          </w:tcPr>
          <w:p w:rsidR="003F75FC" w:rsidRPr="00665924" w:rsidRDefault="003F75FC" w:rsidP="00665924">
            <w:pPr>
              <w:spacing w:line="360" w:lineRule="auto"/>
              <w:ind w:firstLine="397"/>
              <w:jc w:val="both"/>
              <w:rPr>
                <w:rFonts w:cs="Times New Roman"/>
              </w:rPr>
            </w:pPr>
            <w:r w:rsidRPr="00665924">
              <w:rPr>
                <w:rFonts w:cs="Times New Roman"/>
              </w:rPr>
              <w:t>Belgio</w:t>
            </w:r>
          </w:p>
        </w:tc>
        <w:tc>
          <w:tcPr>
            <w:tcW w:w="1268" w:type="pct"/>
          </w:tcPr>
          <w:p w:rsidR="003F75FC" w:rsidRPr="00665924" w:rsidRDefault="003F75FC" w:rsidP="00665924">
            <w:pPr>
              <w:spacing w:line="360" w:lineRule="auto"/>
              <w:ind w:firstLine="397"/>
              <w:jc w:val="both"/>
              <w:rPr>
                <w:rFonts w:cs="Times New Roman"/>
              </w:rPr>
            </w:pPr>
            <w:r w:rsidRPr="00665924">
              <w:rPr>
                <w:rFonts w:cs="Times New Roman"/>
              </w:rPr>
              <w:t>Francia</w:t>
            </w:r>
          </w:p>
        </w:tc>
        <w:tc>
          <w:tcPr>
            <w:tcW w:w="1475" w:type="pct"/>
          </w:tcPr>
          <w:p w:rsidR="003F75FC" w:rsidRPr="00665924" w:rsidRDefault="003F75FC" w:rsidP="00665924">
            <w:pPr>
              <w:spacing w:line="360" w:lineRule="auto"/>
              <w:ind w:firstLine="397"/>
              <w:jc w:val="both"/>
              <w:rPr>
                <w:rFonts w:cs="Times New Roman"/>
              </w:rPr>
            </w:pPr>
            <w:r w:rsidRPr="00665924">
              <w:rPr>
                <w:rFonts w:cs="Times New Roman"/>
              </w:rPr>
              <w:t>Germania</w:t>
            </w:r>
          </w:p>
        </w:tc>
        <w:tc>
          <w:tcPr>
            <w:tcW w:w="1061" w:type="pct"/>
          </w:tcPr>
          <w:p w:rsidR="003F75FC" w:rsidRPr="00665924" w:rsidRDefault="003F75FC" w:rsidP="00665924">
            <w:pPr>
              <w:spacing w:line="360" w:lineRule="auto"/>
              <w:ind w:firstLine="397"/>
              <w:jc w:val="both"/>
              <w:rPr>
                <w:rFonts w:cs="Times New Roman"/>
              </w:rPr>
            </w:pPr>
            <w:r w:rsidRPr="00665924">
              <w:rPr>
                <w:rFonts w:cs="Times New Roman"/>
              </w:rPr>
              <w:t>Italia</w:t>
            </w:r>
          </w:p>
        </w:tc>
      </w:tr>
      <w:tr w:rsidR="003F75FC" w:rsidRPr="00665924" w:rsidTr="003F75FC">
        <w:tc>
          <w:tcPr>
            <w:tcW w:w="1196" w:type="pct"/>
          </w:tcPr>
          <w:p w:rsidR="003F75FC" w:rsidRPr="00665924" w:rsidRDefault="003F75FC" w:rsidP="00665924">
            <w:pPr>
              <w:spacing w:line="360" w:lineRule="auto"/>
              <w:ind w:firstLine="397"/>
              <w:jc w:val="both"/>
              <w:rPr>
                <w:rFonts w:cs="Times New Roman"/>
              </w:rPr>
            </w:pPr>
            <w:r w:rsidRPr="00665924">
              <w:rPr>
                <w:rFonts w:cs="Times New Roman"/>
              </w:rPr>
              <w:t>3,5</w:t>
            </w:r>
          </w:p>
        </w:tc>
        <w:tc>
          <w:tcPr>
            <w:tcW w:w="1268" w:type="pct"/>
          </w:tcPr>
          <w:p w:rsidR="003F75FC" w:rsidRPr="00665924" w:rsidRDefault="003F75FC" w:rsidP="00665924">
            <w:pPr>
              <w:spacing w:line="360" w:lineRule="auto"/>
              <w:ind w:firstLine="397"/>
              <w:jc w:val="both"/>
              <w:rPr>
                <w:rFonts w:cs="Times New Roman"/>
              </w:rPr>
            </w:pPr>
            <w:r w:rsidRPr="00665924">
              <w:rPr>
                <w:rFonts w:cs="Times New Roman"/>
              </w:rPr>
              <w:t>4,0</w:t>
            </w:r>
          </w:p>
        </w:tc>
        <w:tc>
          <w:tcPr>
            <w:tcW w:w="1475" w:type="pct"/>
          </w:tcPr>
          <w:p w:rsidR="003F75FC" w:rsidRPr="00665924" w:rsidRDefault="003F75FC" w:rsidP="00665924">
            <w:pPr>
              <w:spacing w:line="360" w:lineRule="auto"/>
              <w:ind w:firstLine="397"/>
              <w:jc w:val="both"/>
              <w:rPr>
                <w:rFonts w:cs="Times New Roman"/>
              </w:rPr>
            </w:pPr>
            <w:r w:rsidRPr="00665924">
              <w:rPr>
                <w:rFonts w:cs="Times New Roman"/>
              </w:rPr>
              <w:t>5,0</w:t>
            </w:r>
          </w:p>
        </w:tc>
        <w:tc>
          <w:tcPr>
            <w:tcW w:w="1061" w:type="pct"/>
          </w:tcPr>
          <w:p w:rsidR="003F75FC" w:rsidRPr="00665924" w:rsidRDefault="003F75FC" w:rsidP="00665924">
            <w:pPr>
              <w:spacing w:line="360" w:lineRule="auto"/>
              <w:ind w:firstLine="397"/>
              <w:jc w:val="both"/>
              <w:rPr>
                <w:rFonts w:cs="Times New Roman"/>
              </w:rPr>
            </w:pPr>
            <w:r w:rsidRPr="00665924">
              <w:rPr>
                <w:rFonts w:cs="Times New Roman"/>
              </w:rPr>
              <w:t>5,0</w:t>
            </w:r>
          </w:p>
        </w:tc>
      </w:tr>
      <w:tr w:rsidR="003F75FC" w:rsidRPr="00353E9D" w:rsidTr="00840E5F">
        <w:tc>
          <w:tcPr>
            <w:tcW w:w="5000" w:type="pct"/>
            <w:gridSpan w:val="4"/>
            <w:tcBorders>
              <w:left w:val="single" w:sz="4" w:space="0" w:color="FFFFFF" w:themeColor="background1"/>
              <w:bottom w:val="single" w:sz="4" w:space="0" w:color="FFFFFF" w:themeColor="background1"/>
              <w:right w:val="single" w:sz="4" w:space="0" w:color="FFFFFF" w:themeColor="background1"/>
            </w:tcBorders>
          </w:tcPr>
          <w:p w:rsidR="003F75FC" w:rsidRPr="00665924" w:rsidRDefault="003F75FC" w:rsidP="00665924">
            <w:pPr>
              <w:spacing w:line="360" w:lineRule="auto"/>
              <w:jc w:val="both"/>
              <w:rPr>
                <w:rFonts w:cs="Times New Roman"/>
                <w:lang w:val="en-US"/>
              </w:rPr>
            </w:pPr>
            <w:proofErr w:type="spellStart"/>
            <w:r w:rsidRPr="00665924">
              <w:rPr>
                <w:rFonts w:cs="Times New Roman"/>
                <w:i/>
                <w:lang w:val="en-US"/>
              </w:rPr>
              <w:t>Fonti</w:t>
            </w:r>
            <w:proofErr w:type="spellEnd"/>
            <w:r w:rsidRPr="00665924">
              <w:rPr>
                <w:rFonts w:cs="Times New Roman"/>
                <w:i/>
                <w:lang w:val="en-US"/>
              </w:rPr>
              <w:t>: A. Maddison, Monitoring the world economy, Paris, OECD, 1995</w:t>
            </w:r>
          </w:p>
        </w:tc>
      </w:tr>
    </w:tbl>
    <w:p w:rsidR="003F75FC" w:rsidRPr="00665924" w:rsidRDefault="003F75FC" w:rsidP="00665924">
      <w:pPr>
        <w:spacing w:line="360" w:lineRule="auto"/>
        <w:ind w:firstLine="397"/>
        <w:jc w:val="both"/>
        <w:rPr>
          <w:rFonts w:cs="Times New Roman"/>
          <w:sz w:val="24"/>
          <w:lang w:val="en-US"/>
        </w:rPr>
      </w:pPr>
    </w:p>
    <w:p w:rsidR="00354D1E" w:rsidRPr="00665924" w:rsidRDefault="00590D90" w:rsidP="00665924">
      <w:pPr>
        <w:spacing w:line="360" w:lineRule="auto"/>
        <w:ind w:firstLine="397"/>
        <w:jc w:val="both"/>
        <w:rPr>
          <w:rFonts w:cs="Times New Roman"/>
          <w:sz w:val="24"/>
        </w:rPr>
      </w:pPr>
      <w:r w:rsidRPr="00665924">
        <w:rPr>
          <w:rFonts w:cs="Times New Roman"/>
          <w:sz w:val="24"/>
        </w:rPr>
        <w:t>Oltre all’intervento pubblico e alla creazione del MEC, alcuni fattori che favorirono questa crescita furono</w:t>
      </w:r>
      <w:r w:rsidR="00C263EE" w:rsidRPr="00665924">
        <w:rPr>
          <w:rFonts w:cs="Times New Roman"/>
          <w:sz w:val="24"/>
        </w:rPr>
        <w:t>:</w:t>
      </w:r>
    </w:p>
    <w:p w:rsidR="00C263EE" w:rsidRPr="00665924" w:rsidRDefault="00C263EE" w:rsidP="00665924">
      <w:pPr>
        <w:pStyle w:val="Paragrafoelenco"/>
        <w:numPr>
          <w:ilvl w:val="0"/>
          <w:numId w:val="4"/>
        </w:numPr>
        <w:spacing w:line="360" w:lineRule="auto"/>
        <w:ind w:left="0" w:firstLine="397"/>
        <w:jc w:val="both"/>
        <w:rPr>
          <w:rFonts w:cs="Times New Roman"/>
          <w:sz w:val="24"/>
        </w:rPr>
      </w:pPr>
      <w:r w:rsidRPr="00665924">
        <w:rPr>
          <w:rFonts w:cs="Times New Roman"/>
          <w:sz w:val="24"/>
        </w:rPr>
        <w:t>L’esistenza di una vasta riserva di forza lavoro sotto-occupata senza pretese salariali</w:t>
      </w:r>
    </w:p>
    <w:p w:rsidR="00C263EE" w:rsidRPr="00665924" w:rsidRDefault="00C263EE" w:rsidP="00665924">
      <w:pPr>
        <w:pStyle w:val="Paragrafoelenco"/>
        <w:numPr>
          <w:ilvl w:val="0"/>
          <w:numId w:val="4"/>
        </w:numPr>
        <w:spacing w:line="360" w:lineRule="auto"/>
        <w:ind w:left="0" w:firstLine="397"/>
        <w:jc w:val="both"/>
        <w:rPr>
          <w:rFonts w:cs="Times New Roman"/>
          <w:sz w:val="24"/>
        </w:rPr>
      </w:pPr>
      <w:r w:rsidRPr="00665924">
        <w:rPr>
          <w:rFonts w:cs="Times New Roman"/>
          <w:sz w:val="24"/>
        </w:rPr>
        <w:t xml:space="preserve">I “vantaggi dell’arretratezza” </w:t>
      </w:r>
      <w:proofErr w:type="spellStart"/>
      <w:r w:rsidRPr="00665924">
        <w:rPr>
          <w:rFonts w:cs="Times New Roman"/>
          <w:sz w:val="24"/>
        </w:rPr>
        <w:t>gershenkroniani</w:t>
      </w:r>
      <w:proofErr w:type="spellEnd"/>
      <w:r w:rsidRPr="00665924">
        <w:rPr>
          <w:rFonts w:cs="Times New Roman"/>
          <w:sz w:val="24"/>
        </w:rPr>
        <w:t xml:space="preserve"> che permisero di colmare il gap con gli Stati Uniti velocemente</w:t>
      </w:r>
    </w:p>
    <w:p w:rsidR="00C263EE" w:rsidRPr="00665924" w:rsidRDefault="00C263EE" w:rsidP="00665924">
      <w:pPr>
        <w:pStyle w:val="Paragrafoelenco"/>
        <w:numPr>
          <w:ilvl w:val="0"/>
          <w:numId w:val="4"/>
        </w:numPr>
        <w:spacing w:line="360" w:lineRule="auto"/>
        <w:ind w:left="0" w:firstLine="397"/>
        <w:jc w:val="both"/>
        <w:rPr>
          <w:rFonts w:cs="Times New Roman"/>
          <w:sz w:val="24"/>
        </w:rPr>
      </w:pPr>
      <w:r w:rsidRPr="00665924">
        <w:rPr>
          <w:rFonts w:cs="Times New Roman"/>
          <w:sz w:val="24"/>
        </w:rPr>
        <w:t>Una bassa crescita dei prezzi delle materie prime</w:t>
      </w:r>
    </w:p>
    <w:p w:rsidR="00C263EE" w:rsidRPr="00665924" w:rsidRDefault="00C263EE" w:rsidP="00665924">
      <w:pPr>
        <w:pStyle w:val="Paragrafoelenco"/>
        <w:numPr>
          <w:ilvl w:val="0"/>
          <w:numId w:val="4"/>
        </w:numPr>
        <w:spacing w:line="360" w:lineRule="auto"/>
        <w:ind w:left="0" w:firstLine="397"/>
        <w:jc w:val="both"/>
        <w:rPr>
          <w:rFonts w:cs="Times New Roman"/>
          <w:sz w:val="24"/>
        </w:rPr>
      </w:pPr>
      <w:r w:rsidRPr="00665924">
        <w:rPr>
          <w:rFonts w:cs="Times New Roman"/>
          <w:sz w:val="24"/>
        </w:rPr>
        <w:t>I tassi di cambio fissi riducevano i livelli di speculazione finanziaria e al contempo favorivano l’investimento estero</w:t>
      </w:r>
    </w:p>
    <w:p w:rsidR="009137D5" w:rsidRPr="00665924" w:rsidRDefault="009137D5" w:rsidP="00665924">
      <w:pPr>
        <w:spacing w:line="360" w:lineRule="auto"/>
        <w:jc w:val="both"/>
        <w:rPr>
          <w:rFonts w:cs="Times New Roman"/>
          <w:sz w:val="24"/>
        </w:rPr>
      </w:pPr>
      <w:r w:rsidRPr="00665924">
        <w:rPr>
          <w:rFonts w:cs="Times New Roman"/>
          <w:sz w:val="24"/>
        </w:rPr>
        <w:t xml:space="preserve">Questo decennio favorevole </w:t>
      </w:r>
      <w:r w:rsidR="006D28C9" w:rsidRPr="00665924">
        <w:rPr>
          <w:rFonts w:cs="Times New Roman"/>
          <w:sz w:val="24"/>
        </w:rPr>
        <w:t xml:space="preserve">culminò, culturalmente, nel maggio del 1968 con i moti studenteschi di Parigi che successivamente si allargarono al resto dell’Europa. </w:t>
      </w:r>
    </w:p>
    <w:p w:rsidR="00C263EE" w:rsidRDefault="0069603F" w:rsidP="00665924">
      <w:pPr>
        <w:pStyle w:val="Titolo2"/>
        <w:numPr>
          <w:ilvl w:val="1"/>
          <w:numId w:val="3"/>
        </w:numPr>
        <w:spacing w:line="360" w:lineRule="auto"/>
        <w:ind w:left="0" w:firstLine="397"/>
        <w:jc w:val="both"/>
        <w:rPr>
          <w:rFonts w:cs="Times New Roman"/>
        </w:rPr>
      </w:pPr>
      <w:bookmarkStart w:id="4" w:name="_Toc475559350"/>
      <w:r w:rsidRPr="00665924">
        <w:rPr>
          <w:rFonts w:cs="Times New Roman"/>
        </w:rPr>
        <w:t>1970</w:t>
      </w:r>
      <w:r w:rsidR="001D7264" w:rsidRPr="00665924">
        <w:rPr>
          <w:rFonts w:cs="Times New Roman"/>
        </w:rPr>
        <w:t xml:space="preserve"> – </w:t>
      </w:r>
      <w:r w:rsidRPr="00665924">
        <w:rPr>
          <w:rFonts w:cs="Times New Roman"/>
        </w:rPr>
        <w:t>1979: una comunità in crescita</w:t>
      </w:r>
      <w:bookmarkEnd w:id="4"/>
    </w:p>
    <w:p w:rsidR="00B84145" w:rsidRPr="00B84145" w:rsidRDefault="00B84145" w:rsidP="00B84145"/>
    <w:p w:rsidR="009624A4" w:rsidRPr="00665924" w:rsidRDefault="001D5097" w:rsidP="00665924">
      <w:pPr>
        <w:spacing w:line="360" w:lineRule="auto"/>
        <w:ind w:firstLine="397"/>
        <w:jc w:val="both"/>
        <w:rPr>
          <w:rFonts w:cs="Times New Roman"/>
          <w:sz w:val="24"/>
        </w:rPr>
      </w:pPr>
      <w:r w:rsidRPr="00665924">
        <w:rPr>
          <w:rFonts w:cs="Times New Roman"/>
          <w:sz w:val="24"/>
        </w:rPr>
        <w:t>L’Unione Europea inizia a raccogliere successo, sia come progetto che come ideale. Il 1° gennaio 1973 il numero di Stati membri sale a nove grazie all’adesione della Danimarca, dell’Irlanda e del Regno unito.</w:t>
      </w:r>
    </w:p>
    <w:p w:rsidR="001D5097" w:rsidRPr="00665924" w:rsidRDefault="001D5097" w:rsidP="00665924">
      <w:pPr>
        <w:spacing w:line="360" w:lineRule="auto"/>
        <w:ind w:firstLine="397"/>
        <w:jc w:val="both"/>
        <w:rPr>
          <w:rFonts w:cs="Times New Roman"/>
          <w:sz w:val="24"/>
        </w:rPr>
      </w:pPr>
      <w:r w:rsidRPr="00665924">
        <w:rPr>
          <w:rFonts w:cs="Times New Roman"/>
          <w:sz w:val="24"/>
        </w:rPr>
        <w:t>La crescita del decennio precedente subisce un arresto a causa del conflitto arabo-israeliano, vedendo una crisi energetica</w:t>
      </w:r>
      <w:r w:rsidR="001D7264" w:rsidRPr="00665924">
        <w:rPr>
          <w:rFonts w:cs="Times New Roman"/>
          <w:sz w:val="24"/>
        </w:rPr>
        <w:t xml:space="preserve"> investire l’Europa.</w:t>
      </w:r>
    </w:p>
    <w:p w:rsidR="001D7264" w:rsidRPr="00665924" w:rsidRDefault="001D7264" w:rsidP="00665924">
      <w:pPr>
        <w:spacing w:line="360" w:lineRule="auto"/>
        <w:ind w:firstLine="397"/>
        <w:jc w:val="both"/>
        <w:rPr>
          <w:rFonts w:cs="Times New Roman"/>
          <w:sz w:val="24"/>
        </w:rPr>
      </w:pPr>
      <w:r w:rsidRPr="00665924">
        <w:rPr>
          <w:rFonts w:cs="Times New Roman"/>
          <w:sz w:val="24"/>
        </w:rPr>
        <w:t xml:space="preserve">All’interno dell’Unione avvengono alcuni cambiamenti di ordine economico e politico: iniziano a essere destinate somme di denaro per la creazione di posti di lavoro e di infrastrutture nelle zone più povere e il Parlamento Europeo viene eletto per la prima volta a suffragio </w:t>
      </w:r>
      <w:r w:rsidRPr="00665924">
        <w:rPr>
          <w:rFonts w:cs="Times New Roman"/>
          <w:sz w:val="24"/>
        </w:rPr>
        <w:lastRenderedPageBreak/>
        <w:t xml:space="preserve">universale. La lotta all’inquinamento viene intensificata e vengono introdotte leggi e imposte </w:t>
      </w:r>
      <w:proofErr w:type="spellStart"/>
      <w:r w:rsidRPr="00665924">
        <w:rPr>
          <w:rFonts w:cs="Times New Roman"/>
          <w:sz w:val="24"/>
        </w:rPr>
        <w:t>pigouviane</w:t>
      </w:r>
      <w:proofErr w:type="spellEnd"/>
      <w:r w:rsidRPr="00665924">
        <w:rPr>
          <w:rFonts w:cs="Times New Roman"/>
          <w:sz w:val="24"/>
        </w:rPr>
        <w:t xml:space="preserve"> a tutela dell’ambiente.</w:t>
      </w:r>
    </w:p>
    <w:p w:rsidR="001D7264" w:rsidRDefault="001D7264" w:rsidP="00665924">
      <w:pPr>
        <w:pStyle w:val="Titolo2"/>
        <w:numPr>
          <w:ilvl w:val="1"/>
          <w:numId w:val="3"/>
        </w:numPr>
        <w:spacing w:line="360" w:lineRule="auto"/>
        <w:ind w:left="0" w:firstLine="397"/>
        <w:jc w:val="both"/>
        <w:rPr>
          <w:rFonts w:cs="Times New Roman"/>
        </w:rPr>
      </w:pPr>
      <w:bookmarkStart w:id="5" w:name="_Toc475559351"/>
      <w:r w:rsidRPr="00665924">
        <w:rPr>
          <w:rFonts w:cs="Times New Roman"/>
        </w:rPr>
        <w:t xml:space="preserve">1980 – 1989: </w:t>
      </w:r>
      <w:r w:rsidR="00D70F64" w:rsidRPr="00665924">
        <w:rPr>
          <w:rFonts w:cs="Times New Roman"/>
        </w:rPr>
        <w:t>l’Europa cambia volto</w:t>
      </w:r>
      <w:bookmarkEnd w:id="5"/>
    </w:p>
    <w:p w:rsidR="00B84145" w:rsidRPr="00B84145" w:rsidRDefault="00B84145" w:rsidP="00B84145"/>
    <w:p w:rsidR="00F564F1" w:rsidRPr="00665924" w:rsidRDefault="003F75FC" w:rsidP="00665924">
      <w:pPr>
        <w:spacing w:line="360" w:lineRule="auto"/>
        <w:ind w:firstLine="397"/>
        <w:jc w:val="both"/>
        <w:rPr>
          <w:rFonts w:cs="Times New Roman"/>
          <w:sz w:val="24"/>
        </w:rPr>
      </w:pPr>
      <w:r w:rsidRPr="00665924">
        <w:rPr>
          <w:rFonts w:cs="Times New Roman"/>
          <w:sz w:val="24"/>
        </w:rPr>
        <w:t>L’Europa si arricchisce di nuovi Stati grazie all’annessione nel 1981 della Grecia e nel 1985 di Portogallo e Spagna</w:t>
      </w:r>
      <w:r w:rsidR="00F564F1" w:rsidRPr="00665924">
        <w:rPr>
          <w:rFonts w:cs="Times New Roman"/>
          <w:sz w:val="24"/>
        </w:rPr>
        <w:t>, portando il numero di membri dell’Unione a dodici.</w:t>
      </w:r>
    </w:p>
    <w:p w:rsidR="00F564F1" w:rsidRPr="00665924" w:rsidRDefault="00F564F1" w:rsidP="00665924">
      <w:pPr>
        <w:spacing w:line="360" w:lineRule="auto"/>
        <w:ind w:firstLine="397"/>
        <w:jc w:val="both"/>
        <w:rPr>
          <w:rFonts w:cs="Times New Roman"/>
          <w:sz w:val="24"/>
        </w:rPr>
      </w:pPr>
      <w:r w:rsidRPr="00665924">
        <w:rPr>
          <w:rFonts w:cs="Times New Roman"/>
          <w:sz w:val="24"/>
        </w:rPr>
        <w:t>Nel 1986 viene firmato l’Atto unico europeo che pone le basi per un ampio programma di sei anni finalizzato a risolvere i problemi che ancora ostacolano la fluidità degli scambi tra gli Stati membri.</w:t>
      </w:r>
    </w:p>
    <w:p w:rsidR="00F564F1" w:rsidRPr="00665924" w:rsidRDefault="00F564F1" w:rsidP="00665924">
      <w:pPr>
        <w:spacing w:line="360" w:lineRule="auto"/>
        <w:ind w:firstLine="397"/>
        <w:jc w:val="both"/>
        <w:rPr>
          <w:rFonts w:cs="Times New Roman"/>
          <w:b/>
        </w:rPr>
      </w:pPr>
      <w:r w:rsidRPr="00665924">
        <w:rPr>
          <w:rFonts w:cs="Times New Roman"/>
          <w:sz w:val="24"/>
        </w:rPr>
        <w:t>Il 9 novembre 1989 il Muro di Berlino crolla. Il simbolo dei rapporti tra i blocchi occidentale e orientale vede le sue fondamenta sgretolarsi, portando alla riunificazione della Germania l’anno successivo.</w:t>
      </w:r>
    </w:p>
    <w:p w:rsidR="00DD60C0" w:rsidRDefault="00F564F1" w:rsidP="00665924">
      <w:pPr>
        <w:pStyle w:val="Titolo2"/>
        <w:numPr>
          <w:ilvl w:val="1"/>
          <w:numId w:val="3"/>
        </w:numPr>
        <w:spacing w:line="360" w:lineRule="auto"/>
        <w:ind w:left="0" w:firstLine="397"/>
        <w:jc w:val="both"/>
        <w:rPr>
          <w:rFonts w:cs="Times New Roman"/>
        </w:rPr>
      </w:pPr>
      <w:bookmarkStart w:id="6" w:name="_Toc475559352"/>
      <w:r w:rsidRPr="00665924">
        <w:rPr>
          <w:rFonts w:cs="Times New Roman"/>
        </w:rPr>
        <w:t xml:space="preserve">1990 – 1999: </w:t>
      </w:r>
      <w:r w:rsidR="00DD60C0" w:rsidRPr="00665924">
        <w:rPr>
          <w:rFonts w:cs="Times New Roman"/>
        </w:rPr>
        <w:t>uno spazio senza confini</w:t>
      </w:r>
      <w:bookmarkEnd w:id="6"/>
    </w:p>
    <w:p w:rsidR="00B84145" w:rsidRPr="00B84145" w:rsidRDefault="00B84145" w:rsidP="00B84145"/>
    <w:p w:rsidR="00C26DCC" w:rsidRPr="00665924" w:rsidRDefault="00C26DCC" w:rsidP="00665924">
      <w:pPr>
        <w:spacing w:line="360" w:lineRule="auto"/>
        <w:ind w:firstLine="397"/>
        <w:jc w:val="both"/>
        <w:rPr>
          <w:rFonts w:cs="Times New Roman"/>
          <w:sz w:val="24"/>
        </w:rPr>
      </w:pPr>
      <w:r w:rsidRPr="00665924">
        <w:rPr>
          <w:rFonts w:cs="Times New Roman"/>
          <w:sz w:val="24"/>
        </w:rPr>
        <w:t>Nel 1993 entra in vigore il trattato di Maastricht con il quale si dà il via alla cooperazione in materia di politica estera e di sicurezza (PESC) e alla cooperazione in materia di giustizia e affari interni (GAI), il secondo e il terzo pilastro, assieme al sistema comunitario, su cui si reggeva l’Unione Europea. Si pongono inoltre le basi per la moneta unica europea (Euro) e per l’istituzione di una Banca centrale europea</w:t>
      </w:r>
      <w:r w:rsidR="00F564F1" w:rsidRPr="00665924">
        <w:rPr>
          <w:rFonts w:cs="Times New Roman"/>
          <w:sz w:val="24"/>
        </w:rPr>
        <w:t xml:space="preserve"> </w:t>
      </w:r>
      <w:r w:rsidRPr="00665924">
        <w:rPr>
          <w:rFonts w:cs="Times New Roman"/>
          <w:sz w:val="24"/>
        </w:rPr>
        <w:t>(BCE), unico organo di decisione in materia di emissione della moneta e di controllo della liquidità, il cui scopo era garantire la stabilità dei prezzi all’interno del mercato unico. Viene inoltre introdotto il concetto di “cittadinanza europea”.</w:t>
      </w:r>
    </w:p>
    <w:p w:rsidR="002D3D21" w:rsidRPr="00665924" w:rsidRDefault="002D3D21" w:rsidP="00665924">
      <w:pPr>
        <w:spacing w:line="360" w:lineRule="auto"/>
        <w:ind w:firstLine="397"/>
        <w:jc w:val="both"/>
        <w:rPr>
          <w:rFonts w:cs="Times New Roman"/>
          <w:sz w:val="24"/>
        </w:rPr>
      </w:pPr>
      <w:r w:rsidRPr="00665924">
        <w:rPr>
          <w:rFonts w:cs="Times New Roman"/>
          <w:sz w:val="24"/>
        </w:rPr>
        <w:t>Nel 1995 l’Unione Europea si trova a metà della sua forma odierna con l’adesione di tre nuovi Stati: Austria, Finlandia e Svezia. Entra in vigore, inoltre, la convenzione di Schengen</w:t>
      </w:r>
      <w:r w:rsidR="0015431B" w:rsidRPr="00665924">
        <w:rPr>
          <w:rFonts w:cs="Times New Roman"/>
          <w:sz w:val="24"/>
        </w:rPr>
        <w:t>, grazie alla quale i cittadini degli Stati Membri possono viaggiare sul territorio europeo senza controlli alle frontiere.</w:t>
      </w:r>
    </w:p>
    <w:p w:rsidR="0015431B" w:rsidRPr="00665924" w:rsidRDefault="00C26DCC" w:rsidP="00665924">
      <w:pPr>
        <w:spacing w:line="360" w:lineRule="auto"/>
        <w:ind w:firstLine="397"/>
        <w:jc w:val="both"/>
        <w:rPr>
          <w:rFonts w:cs="Times New Roman"/>
          <w:sz w:val="24"/>
        </w:rPr>
      </w:pPr>
      <w:r w:rsidRPr="00665924">
        <w:rPr>
          <w:rFonts w:cs="Times New Roman"/>
          <w:sz w:val="24"/>
        </w:rPr>
        <w:t>Nel 1997 vengono introdotte ulteriori novità grazie al trattato di Amsterdam. Vi è un’ulteriore valorizzazione della cittadinanza europea</w:t>
      </w:r>
      <w:r w:rsidR="002D3D21" w:rsidRPr="00665924">
        <w:rPr>
          <w:rFonts w:cs="Times New Roman"/>
          <w:sz w:val="24"/>
        </w:rPr>
        <w:t xml:space="preserve"> in merito all’uguaglianza di genere, alla protezione dei dati personali e sanzioni per gli Stati Membri nel caso queste indicazioni vengano disattese. Viene modificata la forma di governo comunitaria, semplificando le procedure per la </w:t>
      </w:r>
      <w:r w:rsidR="002D3D21" w:rsidRPr="00665924">
        <w:rPr>
          <w:rFonts w:cs="Times New Roman"/>
          <w:sz w:val="24"/>
        </w:rPr>
        <w:lastRenderedPageBreak/>
        <w:t>partecipazione del Parlamento all’iter legislativo, e infine un rafforzamento della politica sociale europea.</w:t>
      </w:r>
    </w:p>
    <w:p w:rsidR="0015431B" w:rsidRDefault="0015431B" w:rsidP="00665924">
      <w:pPr>
        <w:pStyle w:val="Titolo2"/>
        <w:numPr>
          <w:ilvl w:val="1"/>
          <w:numId w:val="3"/>
        </w:numPr>
        <w:spacing w:line="360" w:lineRule="auto"/>
        <w:ind w:left="0" w:firstLine="397"/>
        <w:jc w:val="both"/>
        <w:rPr>
          <w:rFonts w:cs="Times New Roman"/>
        </w:rPr>
      </w:pPr>
      <w:bookmarkStart w:id="7" w:name="_Toc475559353"/>
      <w:r w:rsidRPr="00665924">
        <w:rPr>
          <w:rFonts w:cs="Times New Roman"/>
        </w:rPr>
        <w:t>2000 – 2009: Uniti resisteremo…</w:t>
      </w:r>
      <w:bookmarkEnd w:id="7"/>
    </w:p>
    <w:p w:rsidR="00B84145" w:rsidRPr="00B84145" w:rsidRDefault="00B84145" w:rsidP="00B84145"/>
    <w:p w:rsidR="00451668" w:rsidRPr="00665924" w:rsidRDefault="00E07678" w:rsidP="00665924">
      <w:pPr>
        <w:spacing w:line="360" w:lineRule="auto"/>
        <w:ind w:firstLine="397"/>
        <w:jc w:val="both"/>
        <w:rPr>
          <w:rFonts w:cs="Times New Roman"/>
          <w:sz w:val="24"/>
        </w:rPr>
      </w:pPr>
      <w:r w:rsidRPr="00665924">
        <w:rPr>
          <w:rFonts w:cs="Times New Roman"/>
          <w:sz w:val="24"/>
        </w:rPr>
        <w:t>2001, l’Euro è realtà. La moneta unica, progetto elaborato nel decennio precedente, vede la luce, inserendo un ulteriore tassello per il mercato unico. Quest’anno divenne anche il simbolo della lotta al terrorismo e dell’unione per la difesa e la sicurezza del territorio, corrente già rinforzata a inizio anno dal trattato di Nizza.</w:t>
      </w:r>
    </w:p>
    <w:p w:rsidR="00F80A88" w:rsidRPr="00665924" w:rsidRDefault="00451668" w:rsidP="00665924">
      <w:pPr>
        <w:spacing w:line="360" w:lineRule="auto"/>
        <w:ind w:firstLine="397"/>
        <w:jc w:val="both"/>
        <w:rPr>
          <w:rFonts w:cs="Times New Roman"/>
          <w:sz w:val="24"/>
        </w:rPr>
      </w:pPr>
      <w:r w:rsidRPr="00665924">
        <w:rPr>
          <w:rFonts w:cs="Times New Roman"/>
          <w:sz w:val="24"/>
        </w:rPr>
        <w:t xml:space="preserve">Tra il 2004 e il 2007 dodici stati entrano nell’Unione, evidenza del risanamento dei rapporti tra Europa occidentale e orientale. </w:t>
      </w:r>
    </w:p>
    <w:p w:rsidR="00F80A88" w:rsidRPr="00665924" w:rsidRDefault="00F80A88" w:rsidP="00665924">
      <w:pPr>
        <w:spacing w:line="360" w:lineRule="auto"/>
        <w:ind w:firstLine="397"/>
        <w:jc w:val="both"/>
        <w:rPr>
          <w:rFonts w:cs="Times New Roman"/>
          <w:sz w:val="24"/>
        </w:rPr>
      </w:pPr>
      <w:r w:rsidRPr="00665924">
        <w:rPr>
          <w:rFonts w:cs="Times New Roman"/>
          <w:sz w:val="24"/>
        </w:rPr>
        <w:t>Il 2008 è l’anno della crisi, forte in Europa come nel resto del mondo. La nuova difficoltà sarà il prodromo del decennio successivo.</w:t>
      </w:r>
    </w:p>
    <w:p w:rsidR="007669F2" w:rsidRPr="00665924" w:rsidRDefault="00F80A88" w:rsidP="00665924">
      <w:pPr>
        <w:spacing w:line="360" w:lineRule="auto"/>
        <w:ind w:firstLine="397"/>
        <w:jc w:val="both"/>
        <w:rPr>
          <w:rFonts w:cs="Times New Roman"/>
          <w:sz w:val="24"/>
        </w:rPr>
      </w:pPr>
      <w:r w:rsidRPr="00665924">
        <w:rPr>
          <w:rFonts w:cs="Times New Roman"/>
          <w:sz w:val="24"/>
        </w:rPr>
        <w:t>Nel 2009</w:t>
      </w:r>
      <w:r w:rsidR="007669F2" w:rsidRPr="00665924">
        <w:rPr>
          <w:rFonts w:cs="Times New Roman"/>
          <w:sz w:val="24"/>
        </w:rPr>
        <w:t xml:space="preserve"> il trattato di Lisbona sancisce la fine della trasformazione da Comunità Europea a Unione Europea, investita di personalità giuridica.</w:t>
      </w:r>
    </w:p>
    <w:p w:rsidR="007669F2" w:rsidRDefault="007669F2" w:rsidP="00665924">
      <w:pPr>
        <w:pStyle w:val="Titolo2"/>
        <w:numPr>
          <w:ilvl w:val="1"/>
          <w:numId w:val="3"/>
        </w:numPr>
        <w:spacing w:line="360" w:lineRule="auto"/>
        <w:ind w:left="0" w:firstLine="397"/>
        <w:jc w:val="both"/>
        <w:rPr>
          <w:rFonts w:cs="Times New Roman"/>
        </w:rPr>
      </w:pPr>
      <w:bookmarkStart w:id="8" w:name="_Toc475559354"/>
      <w:r w:rsidRPr="00665924">
        <w:rPr>
          <w:rFonts w:cs="Times New Roman"/>
        </w:rPr>
        <w:t>2010 – oggi: …divisi crolleremo?</w:t>
      </w:r>
      <w:bookmarkEnd w:id="8"/>
    </w:p>
    <w:p w:rsidR="00B84145" w:rsidRPr="00B84145" w:rsidRDefault="00B84145" w:rsidP="00B84145"/>
    <w:p w:rsidR="0054139F" w:rsidRPr="00665924" w:rsidRDefault="0054139F" w:rsidP="00665924">
      <w:pPr>
        <w:spacing w:line="360" w:lineRule="auto"/>
        <w:ind w:firstLine="397"/>
        <w:jc w:val="both"/>
        <w:rPr>
          <w:rFonts w:cs="Times New Roman"/>
          <w:sz w:val="24"/>
        </w:rPr>
      </w:pPr>
      <w:r w:rsidRPr="00665924">
        <w:rPr>
          <w:rFonts w:cs="Times New Roman"/>
          <w:sz w:val="24"/>
        </w:rPr>
        <w:t>Nel 2012 l’Unione Europea riceve il Nobel per la pace, simbolo del traguardo raggiunto.</w:t>
      </w:r>
    </w:p>
    <w:p w:rsidR="00FB5AF7" w:rsidRPr="00665924" w:rsidRDefault="00B84145" w:rsidP="00665924">
      <w:pPr>
        <w:spacing w:line="360" w:lineRule="auto"/>
        <w:ind w:firstLine="397"/>
        <w:jc w:val="both"/>
        <w:rPr>
          <w:rFonts w:cs="Times New Roman"/>
          <w:sz w:val="24"/>
        </w:rPr>
      </w:pPr>
      <w:r w:rsidRPr="00665924">
        <w:rPr>
          <w:rFonts w:cs="Times New Roman"/>
          <w:noProof/>
          <w:sz w:val="24"/>
          <w:lang w:eastAsia="it-IT"/>
        </w:rPr>
        <mc:AlternateContent>
          <mc:Choice Requires="wps">
            <w:drawing>
              <wp:anchor distT="45720" distB="45720" distL="114300" distR="114300" simplePos="0" relativeHeight="251660288" behindDoc="0" locked="0" layoutInCell="1" allowOverlap="1">
                <wp:simplePos x="0" y="0"/>
                <wp:positionH relativeFrom="margin">
                  <wp:align>left</wp:align>
                </wp:positionH>
                <wp:positionV relativeFrom="paragraph">
                  <wp:posOffset>-508181</wp:posOffset>
                </wp:positionV>
                <wp:extent cx="3846830" cy="4093210"/>
                <wp:effectExtent l="0" t="0" r="20320" b="2159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6830" cy="4093210"/>
                        </a:xfrm>
                        <a:prstGeom prst="rect">
                          <a:avLst/>
                        </a:prstGeom>
                        <a:solidFill>
                          <a:srgbClr val="FFFFFF"/>
                        </a:solidFill>
                        <a:ln w="9525">
                          <a:solidFill>
                            <a:schemeClr val="bg1"/>
                          </a:solidFill>
                          <a:miter lim="800000"/>
                          <a:headEnd/>
                          <a:tailEnd/>
                        </a:ln>
                      </wps:spPr>
                      <wps:txbx>
                        <w:txbxContent>
                          <w:p w:rsidR="00B63BAD" w:rsidRPr="00281973" w:rsidRDefault="00B63BAD">
                            <w:pPr>
                              <w:rPr>
                                <w:sz w:val="20"/>
                              </w:rPr>
                            </w:pPr>
                            <w:r w:rsidRPr="00281973">
                              <w:rPr>
                                <w:i/>
                                <w:noProof/>
                                <w:sz w:val="18"/>
                                <w:lang w:eastAsia="it-IT"/>
                              </w:rPr>
                              <w:drawing>
                                <wp:inline distT="0" distB="0" distL="0" distR="0" wp14:anchorId="11B16F99" wp14:editId="5F12F135">
                                  <wp:extent cx="3485071" cy="3430391"/>
                                  <wp:effectExtent l="0" t="0" r="1270" b="0"/>
                                  <wp:docPr id="18" name="Immagine 18" descr="D:\Università\Tesi\Immagini\Mappa 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tà\Tesi\Immagini\Mappa U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8351" cy="3433620"/>
                                          </a:xfrm>
                                          <a:prstGeom prst="rect">
                                            <a:avLst/>
                                          </a:prstGeom>
                                          <a:noFill/>
                                          <a:ln>
                                            <a:noFill/>
                                          </a:ln>
                                        </pic:spPr>
                                      </pic:pic>
                                    </a:graphicData>
                                  </a:graphic>
                                </wp:inline>
                              </w:drawing>
                            </w:r>
                          </w:p>
                          <w:p w:rsidR="00B63BAD" w:rsidRPr="00281973" w:rsidRDefault="00B63BAD">
                            <w:pPr>
                              <w:rPr>
                                <w:i/>
                                <w:sz w:val="20"/>
                              </w:rPr>
                            </w:pPr>
                            <w:r w:rsidRPr="00281973">
                              <w:rPr>
                                <w:b/>
                                <w:i/>
                                <w:sz w:val="20"/>
                              </w:rPr>
                              <w:t>Fig. 1.7.1</w:t>
                            </w:r>
                            <w:r w:rsidRPr="00281973">
                              <w:rPr>
                                <w:i/>
                                <w:sz w:val="20"/>
                              </w:rPr>
                              <w:t xml:space="preserve"> </w:t>
                            </w:r>
                            <w:r>
                              <w:rPr>
                                <w:i/>
                                <w:sz w:val="20"/>
                              </w:rPr>
                              <w:t xml:space="preserve">- </w:t>
                            </w:r>
                            <w:r w:rsidRPr="00281973">
                              <w:rPr>
                                <w:i/>
                                <w:sz w:val="20"/>
                              </w:rPr>
                              <w:t xml:space="preserve">Stati Membri dell’Unione Europea. </w:t>
                            </w:r>
                          </w:p>
                          <w:p w:rsidR="00B63BAD" w:rsidRPr="00281973" w:rsidRDefault="00B63BAD">
                            <w:pPr>
                              <w:rPr>
                                <w:i/>
                                <w:sz w:val="20"/>
                              </w:rPr>
                            </w:pPr>
                            <w:r w:rsidRPr="00281973">
                              <w:rPr>
                                <w:i/>
                                <w:sz w:val="20"/>
                              </w:rPr>
                              <w:t>Fonti: www.unirc.it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0;margin-top:-40pt;width:302.9pt;height:322.3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" strokecolor="white [3212]">
                <v:textbox>
                  <w:txbxContent>
                    <w:p w:rsidR="00B63BAD" w:rsidRPr="00281973" w:rsidRDefault="00B63BAD">
                      <w:pPr>
                        <w:rPr>
                          <w:sz w:val="20"/>
                        </w:rPr>
                      </w:pPr>
                      <w:r w:rsidRPr="00281973">
                        <w:rPr>
                          <w:i/>
                          <w:noProof/>
                          <w:sz w:val="18"/>
                          <w:lang w:eastAsia="it-IT"/>
                        </w:rPr>
                        <w:drawing>
                          <wp:inline distT="0" distB="0" distL="0" distR="0" wp14:anchorId="11B16F99" wp14:editId="5F12F135">
                            <wp:extent cx="3485071" cy="3430391"/>
                            <wp:effectExtent l="0" t="0" r="1270" b="0"/>
                            <wp:docPr id="18" name="Immagine 18" descr="D:\Università\Tesi\Immagini\Mappa 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tà\Tesi\Immagini\Mappa U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8351" cy="3433620"/>
                                    </a:xfrm>
                                    <a:prstGeom prst="rect">
                                      <a:avLst/>
                                    </a:prstGeom>
                                    <a:noFill/>
                                    <a:ln>
                                      <a:noFill/>
                                    </a:ln>
                                  </pic:spPr>
                                </pic:pic>
                              </a:graphicData>
                            </a:graphic>
                          </wp:inline>
                        </w:drawing>
                      </w:r>
                    </w:p>
                    <w:p w:rsidR="00B63BAD" w:rsidRPr="00281973" w:rsidRDefault="00B63BAD">
                      <w:pPr>
                        <w:rPr>
                          <w:i/>
                          <w:sz w:val="20"/>
                        </w:rPr>
                      </w:pPr>
                      <w:r w:rsidRPr="00281973">
                        <w:rPr>
                          <w:b/>
                          <w:i/>
                          <w:sz w:val="20"/>
                        </w:rPr>
                        <w:t>Fig. 1.7.1</w:t>
                      </w:r>
                      <w:r w:rsidRPr="00281973">
                        <w:rPr>
                          <w:i/>
                          <w:sz w:val="20"/>
                        </w:rPr>
                        <w:t xml:space="preserve"> </w:t>
                      </w:r>
                      <w:r>
                        <w:rPr>
                          <w:i/>
                          <w:sz w:val="20"/>
                        </w:rPr>
                        <w:t xml:space="preserve">- </w:t>
                      </w:r>
                      <w:r w:rsidRPr="00281973">
                        <w:rPr>
                          <w:i/>
                          <w:sz w:val="20"/>
                        </w:rPr>
                        <w:t xml:space="preserve">Stati Membri dell’Unione Europea. </w:t>
                      </w:r>
                    </w:p>
                    <w:p w:rsidR="00B63BAD" w:rsidRPr="00281973" w:rsidRDefault="00B63BAD">
                      <w:pPr>
                        <w:rPr>
                          <w:i/>
                          <w:sz w:val="20"/>
                        </w:rPr>
                      </w:pPr>
                      <w:r w:rsidRPr="00281973">
                        <w:rPr>
                          <w:i/>
                          <w:sz w:val="20"/>
                        </w:rPr>
                        <w:t>Fonti: www.unirc.it</w:t>
                      </w:r>
                    </w:p>
                  </w:txbxContent>
                </v:textbox>
                <w10:wrap type="square" anchorx="margin"/>
              </v:shape>
            </w:pict>
          </mc:Fallback>
        </mc:AlternateContent>
      </w:r>
      <w:r w:rsidR="0054139F" w:rsidRPr="00665924">
        <w:rPr>
          <w:rFonts w:cs="Times New Roman"/>
          <w:sz w:val="24"/>
        </w:rPr>
        <w:t>Nel 2013 la Croazia diventa il 28° Stato membro dell’</w:t>
      </w:r>
      <w:proofErr w:type="spellStart"/>
      <w:r w:rsidR="0054139F" w:rsidRPr="00665924">
        <w:rPr>
          <w:rFonts w:cs="Times New Roman"/>
          <w:sz w:val="24"/>
        </w:rPr>
        <w:t>unione.Il</w:t>
      </w:r>
      <w:proofErr w:type="spellEnd"/>
      <w:r w:rsidR="0054139F" w:rsidRPr="00665924">
        <w:rPr>
          <w:rFonts w:cs="Times New Roman"/>
          <w:sz w:val="24"/>
        </w:rPr>
        <w:t xml:space="preserve"> 2014, purtroppo, è l’anno in cui l’euroscetticismo, filosofia oggi sempre più incisiva tra i vari paesi dell’Unione e oggetto di questa tesi, inizia ad emergere dalle crepe, fino a questo momento, poco visibili nel terreno fertile del </w:t>
      </w:r>
      <w:r w:rsidR="0054139F" w:rsidRPr="00665924">
        <w:rPr>
          <w:rFonts w:cs="Times New Roman"/>
          <w:sz w:val="24"/>
        </w:rPr>
        <w:lastRenderedPageBreak/>
        <w:t>sessantennio passato.</w:t>
      </w:r>
      <w:r w:rsidR="004B7C71" w:rsidRPr="00665924">
        <w:rPr>
          <w:rFonts w:cs="Times New Roman"/>
          <w:sz w:val="24"/>
        </w:rPr>
        <w:t xml:space="preserve"> L’annessione della Crimea alla Russia e l’ascesa dei partiti euroscettici al parlamento europeo</w:t>
      </w:r>
      <w:r w:rsidR="00763929" w:rsidRPr="00665924">
        <w:rPr>
          <w:rFonts w:cs="Times New Roman"/>
          <w:sz w:val="24"/>
        </w:rPr>
        <w:t>, le</w:t>
      </w:r>
      <w:r w:rsidR="004B7C71" w:rsidRPr="00665924">
        <w:rPr>
          <w:rFonts w:cs="Times New Roman"/>
          <w:sz w:val="24"/>
        </w:rPr>
        <w:t xml:space="preserve"> ondate di migranti</w:t>
      </w:r>
      <w:r w:rsidR="00763929" w:rsidRPr="00665924">
        <w:rPr>
          <w:rFonts w:cs="Times New Roman"/>
          <w:sz w:val="24"/>
        </w:rPr>
        <w:t xml:space="preserve"> e gli attacchi terroristici</w:t>
      </w:r>
      <w:r w:rsidR="004B7C71" w:rsidRPr="00665924">
        <w:rPr>
          <w:rFonts w:cs="Times New Roman"/>
          <w:sz w:val="24"/>
        </w:rPr>
        <w:t>, furono l’inizio di un periodo, arrivato fino ad oggi, di incertezza per l’Unione Europea.</w:t>
      </w:r>
    </w:p>
    <w:p w:rsidR="0054139F" w:rsidRDefault="00FF79FD" w:rsidP="00665924">
      <w:pPr>
        <w:pStyle w:val="Titolo2"/>
        <w:numPr>
          <w:ilvl w:val="1"/>
          <w:numId w:val="3"/>
        </w:numPr>
        <w:spacing w:line="360" w:lineRule="auto"/>
        <w:rPr>
          <w:rFonts w:cs="Times New Roman"/>
        </w:rPr>
      </w:pPr>
      <w:bookmarkStart w:id="9" w:name="_Toc475559355"/>
      <w:r w:rsidRPr="00665924">
        <w:rPr>
          <w:rFonts w:cs="Times New Roman"/>
        </w:rPr>
        <w:t>Cameron e la Promessa fatale</w:t>
      </w:r>
      <w:bookmarkEnd w:id="9"/>
    </w:p>
    <w:p w:rsidR="00B84145" w:rsidRPr="00B84145" w:rsidRDefault="00B84145" w:rsidP="00B84145"/>
    <w:p w:rsidR="00440BF0" w:rsidRPr="00665924" w:rsidRDefault="00D2588F" w:rsidP="00665924">
      <w:pPr>
        <w:spacing w:line="360" w:lineRule="auto"/>
        <w:ind w:firstLine="397"/>
        <w:jc w:val="both"/>
        <w:rPr>
          <w:rFonts w:cs="Times New Roman"/>
          <w:sz w:val="24"/>
        </w:rPr>
      </w:pPr>
      <w:r w:rsidRPr="00665924">
        <w:rPr>
          <w:rFonts w:cs="Times New Roman"/>
          <w:sz w:val="24"/>
        </w:rPr>
        <w:t xml:space="preserve">Il 23 gennaio 2013 David Cameron, Primo Ministro inglese, durante un discorso in merito alle elezioni generali, </w:t>
      </w:r>
      <w:r w:rsidR="00F926F9" w:rsidRPr="00665924">
        <w:rPr>
          <w:rFonts w:cs="Times New Roman"/>
          <w:sz w:val="24"/>
        </w:rPr>
        <w:t>promise</w:t>
      </w:r>
      <w:r w:rsidRPr="00665924">
        <w:rPr>
          <w:rFonts w:cs="Times New Roman"/>
          <w:sz w:val="24"/>
        </w:rPr>
        <w:t xml:space="preserve"> un referendum riguardante la permanenza del Regno Unito all’interno dell’Unione Europea nel caso il partito conservatore vinca le elezioni parlamentari</w:t>
      </w:r>
      <w:r w:rsidR="00F926F9" w:rsidRPr="00665924">
        <w:rPr>
          <w:rFonts w:cs="Times New Roman"/>
          <w:sz w:val="24"/>
        </w:rPr>
        <w:t>, probabilmente spinto dai sondaggi non favorevoli</w:t>
      </w:r>
      <w:r w:rsidRPr="00665924">
        <w:rPr>
          <w:rFonts w:cs="Times New Roman"/>
          <w:sz w:val="24"/>
        </w:rPr>
        <w:t xml:space="preserve">. </w:t>
      </w:r>
    </w:p>
    <w:p w:rsidR="0054139F" w:rsidRPr="00665924" w:rsidRDefault="00D2588F" w:rsidP="00665924">
      <w:pPr>
        <w:spacing w:line="360" w:lineRule="auto"/>
        <w:ind w:left="567" w:right="567" w:firstLine="397"/>
        <w:jc w:val="both"/>
        <w:rPr>
          <w:rFonts w:cs="Times New Roman"/>
          <w:i/>
          <w:sz w:val="24"/>
        </w:rPr>
      </w:pPr>
      <w:r w:rsidRPr="00665924">
        <w:rPr>
          <w:rFonts w:cs="Times New Roman"/>
          <w:i/>
          <w:sz w:val="20"/>
          <w:lang w:val="en-US"/>
        </w:rPr>
        <w:t xml:space="preserve">“[…] so, the next Conservative Party manifesto, in 2015, will ask for a mandate, from the British people, for a conservative government, to negotiate a new settlement with our European partners in the next parliament. […] </w:t>
      </w:r>
      <w:proofErr w:type="gramStart"/>
      <w:r w:rsidRPr="00665924">
        <w:rPr>
          <w:rFonts w:cs="Times New Roman"/>
          <w:i/>
          <w:sz w:val="20"/>
          <w:lang w:val="en-US"/>
        </w:rPr>
        <w:t>And</w:t>
      </w:r>
      <w:proofErr w:type="gramEnd"/>
      <w:r w:rsidRPr="00665924">
        <w:rPr>
          <w:rFonts w:cs="Times New Roman"/>
          <w:i/>
          <w:sz w:val="20"/>
          <w:lang w:val="en-US"/>
        </w:rPr>
        <w:t xml:space="preserve"> when we have negotiated that new settlement, we will give the British people a referendum with a very simple in or out choice: to stay in the European Union on </w:t>
      </w:r>
      <w:r w:rsidR="00252380" w:rsidRPr="00665924">
        <w:rPr>
          <w:rFonts w:cs="Times New Roman"/>
          <w:i/>
          <w:sz w:val="20"/>
          <w:lang w:val="en-US"/>
        </w:rPr>
        <w:t>these new terms</w:t>
      </w:r>
      <w:r w:rsidRPr="00665924">
        <w:rPr>
          <w:rFonts w:cs="Times New Roman"/>
          <w:i/>
          <w:sz w:val="20"/>
          <w:lang w:val="en-US"/>
        </w:rPr>
        <w:t xml:space="preserve"> or to come out </w:t>
      </w:r>
      <w:proofErr w:type="spellStart"/>
      <w:r w:rsidRPr="00665924">
        <w:rPr>
          <w:rFonts w:cs="Times New Roman"/>
          <w:i/>
          <w:sz w:val="20"/>
          <w:lang w:val="en-US"/>
        </w:rPr>
        <w:t>all together</w:t>
      </w:r>
      <w:proofErr w:type="spellEnd"/>
      <w:r w:rsidRPr="00665924">
        <w:rPr>
          <w:rFonts w:cs="Times New Roman"/>
          <w:i/>
          <w:sz w:val="20"/>
          <w:lang w:val="en-US"/>
        </w:rPr>
        <w:t xml:space="preserve">. </w:t>
      </w:r>
      <w:proofErr w:type="spellStart"/>
      <w:r w:rsidRPr="00665924">
        <w:rPr>
          <w:rFonts w:cs="Times New Roman"/>
          <w:i/>
          <w:sz w:val="20"/>
        </w:rPr>
        <w:t>It</w:t>
      </w:r>
      <w:proofErr w:type="spellEnd"/>
      <w:r w:rsidRPr="00665924">
        <w:rPr>
          <w:rFonts w:cs="Times New Roman"/>
          <w:i/>
          <w:sz w:val="20"/>
        </w:rPr>
        <w:t xml:space="preserve"> </w:t>
      </w:r>
      <w:proofErr w:type="spellStart"/>
      <w:r w:rsidRPr="00665924">
        <w:rPr>
          <w:rFonts w:cs="Times New Roman"/>
          <w:i/>
          <w:sz w:val="20"/>
        </w:rPr>
        <w:t>will</w:t>
      </w:r>
      <w:proofErr w:type="spellEnd"/>
      <w:r w:rsidRPr="00665924">
        <w:rPr>
          <w:rFonts w:cs="Times New Roman"/>
          <w:i/>
          <w:sz w:val="20"/>
        </w:rPr>
        <w:t xml:space="preserve"> be a in out referendum.”</w:t>
      </w:r>
      <w:r w:rsidR="00440BF0" w:rsidRPr="00665924">
        <w:rPr>
          <w:rFonts w:cs="Times New Roman"/>
          <w:i/>
          <w:sz w:val="20"/>
        </w:rPr>
        <w:t xml:space="preserve"> (</w:t>
      </w:r>
      <w:r w:rsidR="009E4C80" w:rsidRPr="00665924">
        <w:rPr>
          <w:rFonts w:cs="Times New Roman"/>
          <w:i/>
          <w:sz w:val="20"/>
        </w:rPr>
        <w:t>Estratto</w:t>
      </w:r>
      <w:r w:rsidR="00440BF0" w:rsidRPr="00665924">
        <w:rPr>
          <w:rFonts w:cs="Times New Roman"/>
          <w:i/>
          <w:sz w:val="20"/>
        </w:rPr>
        <w:t xml:space="preserve"> dal discorso di David Cameron del 23 gennaio 2013)</w:t>
      </w:r>
    </w:p>
    <w:p w:rsidR="00F926F9" w:rsidRPr="00665924" w:rsidRDefault="00F926F9" w:rsidP="00665924">
      <w:pPr>
        <w:spacing w:line="360" w:lineRule="auto"/>
        <w:ind w:firstLine="397"/>
        <w:jc w:val="both"/>
        <w:rPr>
          <w:rFonts w:cs="Times New Roman"/>
          <w:sz w:val="24"/>
        </w:rPr>
      </w:pPr>
      <w:r w:rsidRPr="00665924">
        <w:rPr>
          <w:rFonts w:cs="Times New Roman"/>
          <w:sz w:val="24"/>
        </w:rPr>
        <w:t>La notizia venne accolta favorevolmente dai partiti euroscettici che richiedevano da molto tempo un voto riguardante questa materia. Un precedente fu quello del 1975 (concluso con un 67% per lo “stay”); da allora la permanenza nell’Unione non era più stata messa in questione se non nei discorsi politici.</w:t>
      </w:r>
    </w:p>
    <w:p w:rsidR="00072DA9" w:rsidRPr="00665924" w:rsidRDefault="00B86B28" w:rsidP="00665924">
      <w:pPr>
        <w:spacing w:line="360" w:lineRule="auto"/>
        <w:ind w:firstLine="397"/>
        <w:jc w:val="both"/>
        <w:rPr>
          <w:rFonts w:cs="Times New Roman"/>
          <w:sz w:val="24"/>
        </w:rPr>
      </w:pPr>
      <w:r w:rsidRPr="00665924">
        <w:rPr>
          <w:rFonts w:cs="Times New Roman"/>
          <w:noProof/>
          <w:sz w:val="24"/>
          <w:lang w:eastAsia="it-IT"/>
        </w:rPr>
        <mc:AlternateContent>
          <mc:Choice Requires="wps">
            <w:drawing>
              <wp:anchor distT="45720" distB="45720" distL="114300" distR="114300" simplePos="0" relativeHeight="251662336" behindDoc="0" locked="0" layoutInCell="1" allowOverlap="1">
                <wp:simplePos x="0" y="0"/>
                <wp:positionH relativeFrom="margin">
                  <wp:align>left</wp:align>
                </wp:positionH>
                <wp:positionV relativeFrom="paragraph">
                  <wp:posOffset>16510</wp:posOffset>
                </wp:positionV>
                <wp:extent cx="2976880" cy="2849245"/>
                <wp:effectExtent l="0" t="0" r="13970" b="27305"/>
                <wp:wrapThrough wrapText="bothSides">
                  <wp:wrapPolygon edited="0">
                    <wp:start x="0" y="0"/>
                    <wp:lineTo x="0" y="21663"/>
                    <wp:lineTo x="21563" y="21663"/>
                    <wp:lineTo x="21563" y="0"/>
                    <wp:lineTo x="0" y="0"/>
                  </wp:wrapPolygon>
                </wp:wrapThrough>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880" cy="2849245"/>
                        </a:xfrm>
                        <a:prstGeom prst="rect">
                          <a:avLst/>
                        </a:prstGeom>
                        <a:solidFill>
                          <a:srgbClr val="FFFFFF"/>
                        </a:solidFill>
                        <a:ln w="9525">
                          <a:solidFill>
                            <a:schemeClr val="bg1"/>
                          </a:solidFill>
                          <a:miter lim="800000"/>
                          <a:headEnd/>
                          <a:tailEnd/>
                        </a:ln>
                      </wps:spPr>
                      <wps:txbx>
                        <w:txbxContent>
                          <w:tbl>
                            <w:tblPr>
                              <w:tblStyle w:val="Grigliatabella"/>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tblGrid>
                            <w:tr w:rsidR="00B63BAD" w:rsidRPr="00281973" w:rsidTr="004A4437">
                              <w:trPr>
                                <w:trHeight w:val="1206"/>
                                <w:jc w:val="right"/>
                              </w:trPr>
                              <w:tc>
                                <w:tcPr>
                                  <w:tcW w:w="4356" w:type="dxa"/>
                                </w:tcPr>
                                <w:p w:rsidR="00B63BAD" w:rsidRPr="00281973" w:rsidRDefault="00B63BAD" w:rsidP="00AC4A61">
                                  <w:pPr>
                                    <w:spacing w:line="360" w:lineRule="auto"/>
                                    <w:jc w:val="both"/>
                                    <w:rPr>
                                      <w:rFonts w:cs="Times New Roman"/>
                                    </w:rPr>
                                  </w:pPr>
                                  <w:r w:rsidRPr="00281973">
                                    <w:rPr>
                                      <w:rFonts w:cs="Times New Roman"/>
                                      <w:noProof/>
                                      <w:lang w:eastAsia="it-IT"/>
                                    </w:rPr>
                                    <w:drawing>
                                      <wp:inline distT="0" distB="0" distL="0" distR="0" wp14:anchorId="6CFC4B35" wp14:editId="25DE1689">
                                        <wp:extent cx="2629226" cy="1911927"/>
                                        <wp:effectExtent l="0" t="0" r="0" b="0"/>
                                        <wp:docPr id="39" name="Immagine 39" descr="C:\Users\Jacopo De Ang\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po De Ang\Desktop\Immagi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4836" cy="1923278"/>
                                                </a:xfrm>
                                                <a:prstGeom prst="rect">
                                                  <a:avLst/>
                                                </a:prstGeom>
                                                <a:noFill/>
                                                <a:ln>
                                                  <a:noFill/>
                                                </a:ln>
                                              </pic:spPr>
                                            </pic:pic>
                                          </a:graphicData>
                                        </a:graphic>
                                      </wp:inline>
                                    </w:drawing>
                                  </w:r>
                                </w:p>
                              </w:tc>
                            </w:tr>
                            <w:tr w:rsidR="00B63BAD" w:rsidRPr="00281973" w:rsidTr="004A4437">
                              <w:trPr>
                                <w:trHeight w:val="111"/>
                                <w:jc w:val="right"/>
                              </w:trPr>
                              <w:tc>
                                <w:tcPr>
                                  <w:tcW w:w="4356" w:type="dxa"/>
                                </w:tcPr>
                                <w:p w:rsidR="00B63BAD" w:rsidRPr="00281973" w:rsidRDefault="00B63BAD" w:rsidP="00AC4A61">
                                  <w:pPr>
                                    <w:spacing w:line="360" w:lineRule="auto"/>
                                    <w:jc w:val="both"/>
                                    <w:rPr>
                                      <w:rFonts w:cs="Times New Roman"/>
                                      <w:i/>
                                      <w:sz w:val="20"/>
                                    </w:rPr>
                                  </w:pPr>
                                  <w:proofErr w:type="spellStart"/>
                                  <w:r w:rsidRPr="00281973">
                                    <w:rPr>
                                      <w:rFonts w:cs="Times New Roman"/>
                                      <w:b/>
                                      <w:i/>
                                      <w:sz w:val="20"/>
                                    </w:rPr>
                                    <w:t>Fig</w:t>
                                  </w:r>
                                  <w:proofErr w:type="spellEnd"/>
                                  <w:r w:rsidRPr="00281973">
                                    <w:rPr>
                                      <w:rFonts w:cs="Times New Roman"/>
                                      <w:b/>
                                      <w:i/>
                                      <w:sz w:val="20"/>
                                    </w:rPr>
                                    <w:t xml:space="preserve"> 1.8.1</w:t>
                                  </w:r>
                                  <w:r w:rsidRPr="00281973">
                                    <w:rPr>
                                      <w:rFonts w:cs="Times New Roman"/>
                                      <w:i/>
                                      <w:sz w:val="20"/>
                                    </w:rPr>
                                    <w:t xml:space="preserve"> </w:t>
                                  </w:r>
                                  <w:r>
                                    <w:rPr>
                                      <w:rFonts w:cs="Times New Roman"/>
                                      <w:i/>
                                      <w:sz w:val="20"/>
                                    </w:rPr>
                                    <w:t xml:space="preserve">- </w:t>
                                  </w:r>
                                  <w:r w:rsidRPr="00281973">
                                    <w:rPr>
                                      <w:rFonts w:cs="Times New Roman"/>
                                      <w:i/>
                                      <w:sz w:val="20"/>
                                    </w:rPr>
                                    <w:t xml:space="preserve">Andamento </w:t>
                                  </w:r>
                                  <w:proofErr w:type="spellStart"/>
                                  <w:r w:rsidRPr="00281973">
                                    <w:rPr>
                                      <w:rFonts w:cs="Times New Roman"/>
                                      <w:i/>
                                      <w:sz w:val="20"/>
                                    </w:rPr>
                                    <w:t>eur</w:t>
                                  </w:r>
                                  <w:proofErr w:type="spellEnd"/>
                                  <w:r w:rsidRPr="00281973">
                                    <w:rPr>
                                      <w:rFonts w:cs="Times New Roman"/>
                                      <w:i/>
                                      <w:sz w:val="20"/>
                                    </w:rPr>
                                    <w:t>/</w:t>
                                  </w:r>
                                  <w:proofErr w:type="spellStart"/>
                                  <w:r w:rsidRPr="00281973">
                                    <w:rPr>
                                      <w:rFonts w:cs="Times New Roman"/>
                                      <w:i/>
                                      <w:sz w:val="20"/>
                                    </w:rPr>
                                    <w:t>gbp</w:t>
                                  </w:r>
                                  <w:proofErr w:type="spellEnd"/>
                                  <w:r w:rsidRPr="00281973">
                                    <w:rPr>
                                      <w:rFonts w:cs="Times New Roman"/>
                                      <w:i/>
                                      <w:sz w:val="20"/>
                                    </w:rPr>
                                    <w:t xml:space="preserve"> tra il 16 giugno 2016 e il 4 luglio 2016. Fonti: http://www.xe.com/</w:t>
                                  </w:r>
                                </w:p>
                              </w:tc>
                            </w:tr>
                          </w:tbl>
                          <w:p w:rsidR="00B63BAD" w:rsidRPr="00281973" w:rsidRDefault="00B63BAD">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3pt;width:234.4pt;height:224.3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" strokecolor="white [3212]">
                <v:textbox>
                  <w:txbxContent>
                    <w:tbl>
                      <w:tblPr>
                        <w:tblStyle w:val="Grigliatabella"/>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tblGrid>
                      <w:tr w:rsidR="00B63BAD" w:rsidRPr="00281973" w:rsidTr="004A4437">
                        <w:trPr>
                          <w:trHeight w:val="1206"/>
                          <w:jc w:val="right"/>
                        </w:trPr>
                        <w:tc>
                          <w:tcPr>
                            <w:tcW w:w="4356" w:type="dxa"/>
                          </w:tcPr>
                          <w:p w:rsidR="00B63BAD" w:rsidRPr="00281973" w:rsidRDefault="00B63BAD" w:rsidP="00AC4A61">
                            <w:pPr>
                              <w:spacing w:line="360" w:lineRule="auto"/>
                              <w:jc w:val="both"/>
                              <w:rPr>
                                <w:rFonts w:cs="Times New Roman"/>
                              </w:rPr>
                            </w:pPr>
                            <w:r w:rsidRPr="00281973">
                              <w:rPr>
                                <w:rFonts w:cs="Times New Roman"/>
                                <w:noProof/>
                                <w:lang w:eastAsia="it-IT"/>
                              </w:rPr>
                              <w:drawing>
                                <wp:inline distT="0" distB="0" distL="0" distR="0" wp14:anchorId="6CFC4B35" wp14:editId="25DE1689">
                                  <wp:extent cx="2629226" cy="1911927"/>
                                  <wp:effectExtent l="0" t="0" r="0" b="0"/>
                                  <wp:docPr id="39" name="Immagine 39" descr="C:\Users\Jacopo De Ang\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po De Ang\Desktop\Immagi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4836" cy="1923278"/>
                                          </a:xfrm>
                                          <a:prstGeom prst="rect">
                                            <a:avLst/>
                                          </a:prstGeom>
                                          <a:noFill/>
                                          <a:ln>
                                            <a:noFill/>
                                          </a:ln>
                                        </pic:spPr>
                                      </pic:pic>
                                    </a:graphicData>
                                  </a:graphic>
                                </wp:inline>
                              </w:drawing>
                            </w:r>
                          </w:p>
                        </w:tc>
                      </w:tr>
                      <w:tr w:rsidR="00B63BAD" w:rsidRPr="00281973" w:rsidTr="004A4437">
                        <w:trPr>
                          <w:trHeight w:val="111"/>
                          <w:jc w:val="right"/>
                        </w:trPr>
                        <w:tc>
                          <w:tcPr>
                            <w:tcW w:w="4356" w:type="dxa"/>
                          </w:tcPr>
                          <w:p w:rsidR="00B63BAD" w:rsidRPr="00281973" w:rsidRDefault="00B63BAD" w:rsidP="00AC4A61">
                            <w:pPr>
                              <w:spacing w:line="360" w:lineRule="auto"/>
                              <w:jc w:val="both"/>
                              <w:rPr>
                                <w:rFonts w:cs="Times New Roman"/>
                                <w:i/>
                                <w:sz w:val="20"/>
                              </w:rPr>
                            </w:pPr>
                            <w:proofErr w:type="spellStart"/>
                            <w:r w:rsidRPr="00281973">
                              <w:rPr>
                                <w:rFonts w:cs="Times New Roman"/>
                                <w:b/>
                                <w:i/>
                                <w:sz w:val="20"/>
                              </w:rPr>
                              <w:t>Fig</w:t>
                            </w:r>
                            <w:proofErr w:type="spellEnd"/>
                            <w:r w:rsidRPr="00281973">
                              <w:rPr>
                                <w:rFonts w:cs="Times New Roman"/>
                                <w:b/>
                                <w:i/>
                                <w:sz w:val="20"/>
                              </w:rPr>
                              <w:t xml:space="preserve"> 1.8.1</w:t>
                            </w:r>
                            <w:r w:rsidRPr="00281973">
                              <w:rPr>
                                <w:rFonts w:cs="Times New Roman"/>
                                <w:i/>
                                <w:sz w:val="20"/>
                              </w:rPr>
                              <w:t xml:space="preserve"> </w:t>
                            </w:r>
                            <w:r>
                              <w:rPr>
                                <w:rFonts w:cs="Times New Roman"/>
                                <w:i/>
                                <w:sz w:val="20"/>
                              </w:rPr>
                              <w:t xml:space="preserve">- </w:t>
                            </w:r>
                            <w:r w:rsidRPr="00281973">
                              <w:rPr>
                                <w:rFonts w:cs="Times New Roman"/>
                                <w:i/>
                                <w:sz w:val="20"/>
                              </w:rPr>
                              <w:t xml:space="preserve">Andamento </w:t>
                            </w:r>
                            <w:proofErr w:type="spellStart"/>
                            <w:r w:rsidRPr="00281973">
                              <w:rPr>
                                <w:rFonts w:cs="Times New Roman"/>
                                <w:i/>
                                <w:sz w:val="20"/>
                              </w:rPr>
                              <w:t>eur</w:t>
                            </w:r>
                            <w:proofErr w:type="spellEnd"/>
                            <w:r w:rsidRPr="00281973">
                              <w:rPr>
                                <w:rFonts w:cs="Times New Roman"/>
                                <w:i/>
                                <w:sz w:val="20"/>
                              </w:rPr>
                              <w:t>/</w:t>
                            </w:r>
                            <w:proofErr w:type="spellStart"/>
                            <w:r w:rsidRPr="00281973">
                              <w:rPr>
                                <w:rFonts w:cs="Times New Roman"/>
                                <w:i/>
                                <w:sz w:val="20"/>
                              </w:rPr>
                              <w:t>gbp</w:t>
                            </w:r>
                            <w:proofErr w:type="spellEnd"/>
                            <w:r w:rsidRPr="00281973">
                              <w:rPr>
                                <w:rFonts w:cs="Times New Roman"/>
                                <w:i/>
                                <w:sz w:val="20"/>
                              </w:rPr>
                              <w:t xml:space="preserve"> tra il 16 giugno 2016 e il 4 luglio 2016. Fonti: http://www.xe.com/</w:t>
                            </w:r>
                          </w:p>
                        </w:tc>
                      </w:tr>
                    </w:tbl>
                    <w:p w:rsidR="00B63BAD" w:rsidRPr="00281973" w:rsidRDefault="00B63BAD">
                      <w:pPr>
                        <w:rPr>
                          <w:sz w:val="20"/>
                        </w:rPr>
                      </w:pPr>
                    </w:p>
                  </w:txbxContent>
                </v:textbox>
                <w10:wrap type="through" anchorx="margin"/>
              </v:shape>
            </w:pict>
          </mc:Fallback>
        </mc:AlternateContent>
      </w:r>
      <w:r w:rsidR="00F926F9" w:rsidRPr="00665924">
        <w:rPr>
          <w:rFonts w:cs="Times New Roman"/>
          <w:sz w:val="24"/>
        </w:rPr>
        <w:t>La volontà nazionalista si espresse nuovamente nel 2014, quando il partito antieuropeista UKIP venne eletto al parlamento europeo.</w:t>
      </w:r>
    </w:p>
    <w:p w:rsidR="00724A33" w:rsidRPr="00665924" w:rsidRDefault="00072DA9" w:rsidP="00665924">
      <w:pPr>
        <w:spacing w:line="360" w:lineRule="auto"/>
        <w:ind w:firstLine="397"/>
        <w:jc w:val="both"/>
        <w:rPr>
          <w:rFonts w:cs="Times New Roman"/>
          <w:sz w:val="24"/>
        </w:rPr>
      </w:pPr>
      <w:r w:rsidRPr="00665924">
        <w:rPr>
          <w:rFonts w:cs="Times New Roman"/>
          <w:sz w:val="24"/>
        </w:rPr>
        <w:t xml:space="preserve">A inizio febbraio Cameron stabilì la data del referendum, il 23 giugno 2016. Nei mesi successivi opinionisti, politici ed economisti si espressero riguardo </w:t>
      </w:r>
      <w:r w:rsidR="006871F1">
        <w:rPr>
          <w:rFonts w:cs="Times New Roman"/>
          <w:sz w:val="24"/>
        </w:rPr>
        <w:t>agli</w:t>
      </w:r>
      <w:r w:rsidRPr="00665924">
        <w:rPr>
          <w:rFonts w:cs="Times New Roman"/>
          <w:sz w:val="24"/>
        </w:rPr>
        <w:t xml:space="preserve"> scenari futuri. La montagna russa dei sondaggi non diede tregua al mondo fino alla sera precedente il voto. L’incertezza regnò sovrana, così nelle aziende che iniziarono a pianificare le possibili mosse in caso di uscita, così come la Borsa che vide una sterlina altamente variabile.</w:t>
      </w:r>
      <w:r w:rsidR="00724A33" w:rsidRPr="00665924">
        <w:rPr>
          <w:rFonts w:cs="Times New Roman"/>
          <w:sz w:val="24"/>
        </w:rPr>
        <w:t xml:space="preserve"> Durante questo periodo, il 16 </w:t>
      </w:r>
      <w:r w:rsidR="00724A33" w:rsidRPr="00665924">
        <w:rPr>
          <w:rFonts w:cs="Times New Roman"/>
          <w:sz w:val="24"/>
        </w:rPr>
        <w:lastRenderedPageBreak/>
        <w:t xml:space="preserve">giugno, il membro del parlamento </w:t>
      </w:r>
      <w:proofErr w:type="spellStart"/>
      <w:r w:rsidR="00724A33" w:rsidRPr="00665924">
        <w:rPr>
          <w:rFonts w:cs="Times New Roman"/>
          <w:sz w:val="24"/>
        </w:rPr>
        <w:t>Jo</w:t>
      </w:r>
      <w:proofErr w:type="spellEnd"/>
      <w:r w:rsidR="00724A33" w:rsidRPr="00665924">
        <w:rPr>
          <w:rFonts w:cs="Times New Roman"/>
          <w:sz w:val="24"/>
        </w:rPr>
        <w:t xml:space="preserve"> </w:t>
      </w:r>
      <w:proofErr w:type="spellStart"/>
      <w:r w:rsidR="00724A33" w:rsidRPr="00665924">
        <w:rPr>
          <w:rFonts w:cs="Times New Roman"/>
          <w:sz w:val="24"/>
        </w:rPr>
        <w:t>Cox</w:t>
      </w:r>
      <w:proofErr w:type="spellEnd"/>
      <w:r w:rsidR="00724A33" w:rsidRPr="00665924">
        <w:rPr>
          <w:rFonts w:cs="Times New Roman"/>
          <w:sz w:val="24"/>
        </w:rPr>
        <w:t xml:space="preserve"> venne assassinata in strada da un uomo accompagnato dall’inno “put Britain first”</w:t>
      </w:r>
      <w:r w:rsidR="00724A33" w:rsidRPr="00665924">
        <w:rPr>
          <w:rStyle w:val="Rimandonotaapidipagina"/>
          <w:rFonts w:cs="Times New Roman"/>
          <w:sz w:val="24"/>
        </w:rPr>
        <w:footnoteReference w:id="1"/>
      </w:r>
      <w:r w:rsidR="00724A33" w:rsidRPr="00665924">
        <w:rPr>
          <w:rFonts w:cs="Times New Roman"/>
          <w:sz w:val="24"/>
        </w:rPr>
        <w:t xml:space="preserve">, caso diventato simbolo della follia dell’estremismo politico in </w:t>
      </w:r>
      <w:r w:rsidR="00B86B28" w:rsidRPr="00665924">
        <w:rPr>
          <w:rFonts w:cs="Times New Roman"/>
          <w:noProof/>
          <w:sz w:val="24"/>
          <w:lang w:eastAsia="it-IT"/>
        </w:rPr>
        <mc:AlternateContent>
          <mc:Choice Requires="wps">
            <w:drawing>
              <wp:anchor distT="45720" distB="45720" distL="114300" distR="114300" simplePos="0" relativeHeight="251664384" behindDoc="0" locked="0" layoutInCell="1" allowOverlap="1">
                <wp:simplePos x="0" y="0"/>
                <wp:positionH relativeFrom="margin">
                  <wp:align>right</wp:align>
                </wp:positionH>
                <wp:positionV relativeFrom="paragraph">
                  <wp:posOffset>622300</wp:posOffset>
                </wp:positionV>
                <wp:extent cx="3699510" cy="2721610"/>
                <wp:effectExtent l="0" t="0" r="15240" b="21590"/>
                <wp:wrapThrough wrapText="bothSides">
                  <wp:wrapPolygon edited="0">
                    <wp:start x="0" y="0"/>
                    <wp:lineTo x="0" y="21620"/>
                    <wp:lineTo x="21578" y="21620"/>
                    <wp:lineTo x="21578" y="0"/>
                    <wp:lineTo x="0" y="0"/>
                  </wp:wrapPolygon>
                </wp:wrapThrough>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510" cy="2721610"/>
                        </a:xfrm>
                        <a:prstGeom prst="rect">
                          <a:avLst/>
                        </a:prstGeom>
                        <a:solidFill>
                          <a:srgbClr val="FFFFFF"/>
                        </a:solidFill>
                        <a:ln w="9525">
                          <a:solidFill>
                            <a:schemeClr val="bg1"/>
                          </a:solidFill>
                          <a:miter lim="800000"/>
                          <a:headEnd/>
                          <a:tailEnd/>
                        </a:ln>
                      </wps:spPr>
                      <wps:txbx>
                        <w:txbxContent>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tblGrid>
                            <w:tr w:rsidR="00B63BAD" w:rsidRPr="00281973" w:rsidTr="004A4437">
                              <w:trPr>
                                <w:trHeight w:val="2265"/>
                              </w:trPr>
                              <w:tc>
                                <w:tcPr>
                                  <w:tcW w:w="5499" w:type="dxa"/>
                                </w:tcPr>
                                <w:p w:rsidR="00B63BAD" w:rsidRPr="00281973" w:rsidRDefault="00B63BAD" w:rsidP="0061740C">
                                  <w:pPr>
                                    <w:spacing w:line="360" w:lineRule="auto"/>
                                    <w:jc w:val="both"/>
                                    <w:rPr>
                                      <w:rFonts w:cs="Times New Roman"/>
                                    </w:rPr>
                                  </w:pPr>
                                  <w:r w:rsidRPr="00281973">
                                    <w:rPr>
                                      <w:rFonts w:cs="Times New Roman"/>
                                      <w:noProof/>
                                      <w:lang w:eastAsia="it-IT"/>
                                    </w:rPr>
                                    <w:drawing>
                                      <wp:inline distT="0" distB="0" distL="0" distR="0" wp14:anchorId="3AF23128" wp14:editId="7854A36B">
                                        <wp:extent cx="1665027" cy="1929871"/>
                                        <wp:effectExtent l="0" t="0" r="0" b="0"/>
                                        <wp:docPr id="25" name="Immagine 25" descr="D:\Università\Tesi\Immagini\3. Infografiche voto Brexit\voti in base all'età e al part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tà\Tesi\Immagini\3. Infografiche voto Brexit\voti in base all'età e al partit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17175" cy="1990314"/>
                                                </a:xfrm>
                                                <a:prstGeom prst="rect">
                                                  <a:avLst/>
                                                </a:prstGeom>
                                                <a:noFill/>
                                                <a:ln>
                                                  <a:noFill/>
                                                </a:ln>
                                              </pic:spPr>
                                            </pic:pic>
                                          </a:graphicData>
                                        </a:graphic>
                                      </wp:inline>
                                    </w:drawing>
                                  </w:r>
                                  <w:r w:rsidRPr="00281973">
                                    <w:rPr>
                                      <w:rFonts w:cs="Times New Roman"/>
                                      <w:noProof/>
                                      <w:lang w:eastAsia="it-IT"/>
                                    </w:rPr>
                                    <w:drawing>
                                      <wp:inline distT="0" distB="0" distL="0" distR="0" wp14:anchorId="70C1D959" wp14:editId="57BC2D7B">
                                        <wp:extent cx="1678675" cy="1941054"/>
                                        <wp:effectExtent l="0" t="0" r="0" b="2540"/>
                                        <wp:docPr id="26" name="Immagine 26" descr="D:\Università\Tesi\Immagini\3. Infografiche voto Brexit\voti in base al titolo e al part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à\Tesi\Immagini\3. Infografiche voto Brexit\voti in base al titolo e al partit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9590" cy="1965238"/>
                                                </a:xfrm>
                                                <a:prstGeom prst="rect">
                                                  <a:avLst/>
                                                </a:prstGeom>
                                                <a:noFill/>
                                                <a:ln>
                                                  <a:noFill/>
                                                </a:ln>
                                              </pic:spPr>
                                            </pic:pic>
                                          </a:graphicData>
                                        </a:graphic>
                                      </wp:inline>
                                    </w:drawing>
                                  </w:r>
                                </w:p>
                              </w:tc>
                            </w:tr>
                            <w:tr w:rsidR="00B63BAD" w:rsidRPr="00281973" w:rsidTr="004A4437">
                              <w:trPr>
                                <w:trHeight w:val="209"/>
                              </w:trPr>
                              <w:tc>
                                <w:tcPr>
                                  <w:tcW w:w="5499" w:type="dxa"/>
                                </w:tcPr>
                                <w:p w:rsidR="00B63BAD" w:rsidRPr="00281973" w:rsidRDefault="00B63BAD" w:rsidP="00AC4A61">
                                  <w:pPr>
                                    <w:spacing w:line="360" w:lineRule="auto"/>
                                    <w:jc w:val="both"/>
                                    <w:rPr>
                                      <w:rFonts w:cs="Times New Roman"/>
                                      <w:i/>
                                      <w:sz w:val="20"/>
                                    </w:rPr>
                                  </w:pPr>
                                  <w:proofErr w:type="spellStart"/>
                                  <w:r w:rsidRPr="00281973">
                                    <w:rPr>
                                      <w:rFonts w:cs="Times New Roman"/>
                                      <w:b/>
                                      <w:i/>
                                      <w:sz w:val="20"/>
                                    </w:rPr>
                                    <w:t>Fig</w:t>
                                  </w:r>
                                  <w:proofErr w:type="spellEnd"/>
                                  <w:r w:rsidRPr="00281973">
                                    <w:rPr>
                                      <w:rFonts w:cs="Times New Roman"/>
                                      <w:b/>
                                      <w:i/>
                                      <w:sz w:val="20"/>
                                    </w:rPr>
                                    <w:t xml:space="preserve"> 1.8.2</w:t>
                                  </w:r>
                                  <w:r w:rsidRPr="00281973">
                                    <w:rPr>
                                      <w:rFonts w:cs="Times New Roman"/>
                                      <w:i/>
                                      <w:sz w:val="20"/>
                                    </w:rPr>
                                    <w:t xml:space="preserve"> </w:t>
                                  </w:r>
                                  <w:r>
                                    <w:rPr>
                                      <w:rFonts w:cs="Times New Roman"/>
                                      <w:i/>
                                      <w:sz w:val="20"/>
                                    </w:rPr>
                                    <w:t xml:space="preserve">- </w:t>
                                  </w:r>
                                  <w:r w:rsidRPr="00281973">
                                    <w:rPr>
                                      <w:rFonts w:cs="Times New Roman"/>
                                      <w:i/>
                                      <w:sz w:val="20"/>
                                    </w:rPr>
                                    <w:t>Correlazione dei voti tra partito di appartenenza ed età o titolo di studio. Fonti: https://yougov.co.uk/</w:t>
                                  </w:r>
                                </w:p>
                              </w:tc>
                            </w:tr>
                          </w:tbl>
                          <w:p w:rsidR="00B63BAD" w:rsidRPr="00281973" w:rsidRDefault="00B63BAD">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40.1pt;margin-top:49pt;width:291.3pt;height:214.3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" strokecolor="white [3212]">
                <v:textbox>
                  <w:txbxContent>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tblGrid>
                      <w:tr w:rsidR="00B63BAD" w:rsidRPr="00281973" w:rsidTr="004A4437">
                        <w:trPr>
                          <w:trHeight w:val="2265"/>
                        </w:trPr>
                        <w:tc>
                          <w:tcPr>
                            <w:tcW w:w="5499" w:type="dxa"/>
                          </w:tcPr>
                          <w:p w:rsidR="00B63BAD" w:rsidRPr="00281973" w:rsidRDefault="00B63BAD" w:rsidP="0061740C">
                            <w:pPr>
                              <w:spacing w:line="360" w:lineRule="auto"/>
                              <w:jc w:val="both"/>
                              <w:rPr>
                                <w:rFonts w:cs="Times New Roman"/>
                              </w:rPr>
                            </w:pPr>
                            <w:r w:rsidRPr="00281973">
                              <w:rPr>
                                <w:rFonts w:cs="Times New Roman"/>
                                <w:noProof/>
                                <w:lang w:eastAsia="it-IT"/>
                              </w:rPr>
                              <w:drawing>
                                <wp:inline distT="0" distB="0" distL="0" distR="0" wp14:anchorId="3AF23128" wp14:editId="7854A36B">
                                  <wp:extent cx="1665027" cy="1929871"/>
                                  <wp:effectExtent l="0" t="0" r="0" b="0"/>
                                  <wp:docPr id="25" name="Immagine 25" descr="D:\Università\Tesi\Immagini\3. Infografiche voto Brexit\voti in base all'età e al part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tà\Tesi\Immagini\3. Infografiche voto Brexit\voti in base all'età e al partit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17175" cy="1990314"/>
                                          </a:xfrm>
                                          <a:prstGeom prst="rect">
                                            <a:avLst/>
                                          </a:prstGeom>
                                          <a:noFill/>
                                          <a:ln>
                                            <a:noFill/>
                                          </a:ln>
                                        </pic:spPr>
                                      </pic:pic>
                                    </a:graphicData>
                                  </a:graphic>
                                </wp:inline>
                              </w:drawing>
                            </w:r>
                            <w:r w:rsidRPr="00281973">
                              <w:rPr>
                                <w:rFonts w:cs="Times New Roman"/>
                                <w:noProof/>
                                <w:lang w:eastAsia="it-IT"/>
                              </w:rPr>
                              <w:drawing>
                                <wp:inline distT="0" distB="0" distL="0" distR="0" wp14:anchorId="70C1D959" wp14:editId="57BC2D7B">
                                  <wp:extent cx="1678675" cy="1941054"/>
                                  <wp:effectExtent l="0" t="0" r="0" b="2540"/>
                                  <wp:docPr id="26" name="Immagine 26" descr="D:\Università\Tesi\Immagini\3. Infografiche voto Brexit\voti in base al titolo e al part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à\Tesi\Immagini\3. Infografiche voto Brexit\voti in base al titolo e al partit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9590" cy="1965238"/>
                                          </a:xfrm>
                                          <a:prstGeom prst="rect">
                                            <a:avLst/>
                                          </a:prstGeom>
                                          <a:noFill/>
                                          <a:ln>
                                            <a:noFill/>
                                          </a:ln>
                                        </pic:spPr>
                                      </pic:pic>
                                    </a:graphicData>
                                  </a:graphic>
                                </wp:inline>
                              </w:drawing>
                            </w:r>
                          </w:p>
                        </w:tc>
                      </w:tr>
                      <w:tr w:rsidR="00B63BAD" w:rsidRPr="00281973" w:rsidTr="004A4437">
                        <w:trPr>
                          <w:trHeight w:val="209"/>
                        </w:trPr>
                        <w:tc>
                          <w:tcPr>
                            <w:tcW w:w="5499" w:type="dxa"/>
                          </w:tcPr>
                          <w:p w:rsidR="00B63BAD" w:rsidRPr="00281973" w:rsidRDefault="00B63BAD" w:rsidP="00AC4A61">
                            <w:pPr>
                              <w:spacing w:line="360" w:lineRule="auto"/>
                              <w:jc w:val="both"/>
                              <w:rPr>
                                <w:rFonts w:cs="Times New Roman"/>
                                <w:i/>
                                <w:sz w:val="20"/>
                              </w:rPr>
                            </w:pPr>
                            <w:proofErr w:type="spellStart"/>
                            <w:r w:rsidRPr="00281973">
                              <w:rPr>
                                <w:rFonts w:cs="Times New Roman"/>
                                <w:b/>
                                <w:i/>
                                <w:sz w:val="20"/>
                              </w:rPr>
                              <w:t>Fig</w:t>
                            </w:r>
                            <w:proofErr w:type="spellEnd"/>
                            <w:r w:rsidRPr="00281973">
                              <w:rPr>
                                <w:rFonts w:cs="Times New Roman"/>
                                <w:b/>
                                <w:i/>
                                <w:sz w:val="20"/>
                              </w:rPr>
                              <w:t xml:space="preserve"> 1.8.2</w:t>
                            </w:r>
                            <w:r w:rsidRPr="00281973">
                              <w:rPr>
                                <w:rFonts w:cs="Times New Roman"/>
                                <w:i/>
                                <w:sz w:val="20"/>
                              </w:rPr>
                              <w:t xml:space="preserve"> </w:t>
                            </w:r>
                            <w:r>
                              <w:rPr>
                                <w:rFonts w:cs="Times New Roman"/>
                                <w:i/>
                                <w:sz w:val="20"/>
                              </w:rPr>
                              <w:t xml:space="preserve">- </w:t>
                            </w:r>
                            <w:r w:rsidRPr="00281973">
                              <w:rPr>
                                <w:rFonts w:cs="Times New Roman"/>
                                <w:i/>
                                <w:sz w:val="20"/>
                              </w:rPr>
                              <w:t>Correlazione dei voti tra partito di appartenenza ed età o titolo di studio. Fonti: https://yougov.co.uk/</w:t>
                            </w:r>
                          </w:p>
                        </w:tc>
                      </w:tr>
                    </w:tbl>
                    <w:p w:rsidR="00B63BAD" w:rsidRPr="00281973" w:rsidRDefault="00B63BAD">
                      <w:pPr>
                        <w:rPr>
                          <w:sz w:val="20"/>
                        </w:rPr>
                      </w:pPr>
                    </w:p>
                  </w:txbxContent>
                </v:textbox>
                <w10:wrap type="through" anchorx="margin"/>
              </v:shape>
            </w:pict>
          </mc:Fallback>
        </mc:AlternateContent>
      </w:r>
      <w:r w:rsidR="00724A33" w:rsidRPr="00665924">
        <w:rPr>
          <w:rFonts w:cs="Times New Roman"/>
          <w:sz w:val="24"/>
        </w:rPr>
        <w:t>Gran Bretagna.</w:t>
      </w:r>
    </w:p>
    <w:p w:rsidR="001010E7" w:rsidRPr="00665924" w:rsidRDefault="00072DA9" w:rsidP="00665924">
      <w:pPr>
        <w:spacing w:line="360" w:lineRule="auto"/>
        <w:ind w:firstLine="397"/>
        <w:jc w:val="both"/>
        <w:rPr>
          <w:rFonts w:cs="Times New Roman"/>
          <w:sz w:val="24"/>
        </w:rPr>
      </w:pPr>
      <w:r w:rsidRPr="00665924">
        <w:rPr>
          <w:rFonts w:cs="Times New Roman"/>
          <w:sz w:val="24"/>
        </w:rPr>
        <w:t>A sorpresa, nonostante una previsione di vincita dello stay, il voto popolare fu per l’uscita dall’</w:t>
      </w:r>
      <w:r w:rsidR="001010E7" w:rsidRPr="00665924">
        <w:rPr>
          <w:rFonts w:cs="Times New Roman"/>
          <w:sz w:val="24"/>
        </w:rPr>
        <w:t>Unione con il 51,9% di prefer</w:t>
      </w:r>
      <w:r w:rsidR="007D1CC6" w:rsidRPr="00665924">
        <w:rPr>
          <w:rFonts w:cs="Times New Roman"/>
          <w:sz w:val="24"/>
        </w:rPr>
        <w:t>enze con un’affluenza record del 72,2%.</w:t>
      </w:r>
    </w:p>
    <w:p w:rsidR="0061740C" w:rsidRPr="00665924" w:rsidRDefault="002172C1" w:rsidP="00665924">
      <w:pPr>
        <w:spacing w:line="360" w:lineRule="auto"/>
        <w:ind w:firstLine="397"/>
        <w:jc w:val="both"/>
        <w:rPr>
          <w:rFonts w:cs="Times New Roman"/>
          <w:sz w:val="24"/>
        </w:rPr>
      </w:pPr>
      <w:r w:rsidRPr="00665924">
        <w:rPr>
          <w:rFonts w:cs="Times New Roman"/>
          <w:sz w:val="24"/>
        </w:rPr>
        <w:t xml:space="preserve">Tra i festeggiamenti dei partiti indipendentisti, la prima vittima </w:t>
      </w:r>
      <w:r w:rsidR="00802BBF">
        <w:rPr>
          <w:rFonts w:cs="Times New Roman"/>
          <w:sz w:val="24"/>
        </w:rPr>
        <w:t>fu</w:t>
      </w:r>
      <w:r w:rsidRPr="00665924">
        <w:rPr>
          <w:rFonts w:cs="Times New Roman"/>
          <w:sz w:val="24"/>
        </w:rPr>
        <w:t xml:space="preserve"> la Sterlina che </w:t>
      </w:r>
      <w:r w:rsidR="00802BBF">
        <w:rPr>
          <w:rFonts w:cs="Times New Roman"/>
          <w:sz w:val="24"/>
        </w:rPr>
        <w:t>passò</w:t>
      </w:r>
      <w:r w:rsidRPr="00665924">
        <w:rPr>
          <w:rFonts w:cs="Times New Roman"/>
          <w:sz w:val="24"/>
        </w:rPr>
        <w:t xml:space="preserve"> da un cambio 0.76 €/£ alla chiusura del 23 giugno a 0.81 €/£ il giorno successivo per poi procedere inesorabilmente fino</w:t>
      </w:r>
      <w:r w:rsidR="00865F8F" w:rsidRPr="00665924">
        <w:rPr>
          <w:rFonts w:cs="Times New Roman"/>
          <w:sz w:val="24"/>
        </w:rPr>
        <w:t xml:space="preserve"> al catastrofico 0.90 €/£ di ottobre.</w:t>
      </w:r>
    </w:p>
    <w:p w:rsidR="0061740C" w:rsidRPr="00665924" w:rsidRDefault="0061740C" w:rsidP="00665924">
      <w:pPr>
        <w:spacing w:line="360" w:lineRule="auto"/>
        <w:ind w:firstLine="397"/>
        <w:jc w:val="both"/>
        <w:rPr>
          <w:rFonts w:cs="Times New Roman"/>
          <w:sz w:val="24"/>
        </w:rPr>
      </w:pPr>
      <w:r w:rsidRPr="00665924">
        <w:rPr>
          <w:rFonts w:cs="Times New Roman"/>
          <w:sz w:val="24"/>
        </w:rPr>
        <w:t>Una rapida</w:t>
      </w:r>
      <w:r w:rsidR="004A5A54" w:rsidRPr="00665924">
        <w:rPr>
          <w:rFonts w:cs="Times New Roman"/>
          <w:sz w:val="24"/>
        </w:rPr>
        <w:t>,</w:t>
      </w:r>
      <w:r w:rsidRPr="00665924">
        <w:rPr>
          <w:rFonts w:cs="Times New Roman"/>
          <w:sz w:val="24"/>
        </w:rPr>
        <w:t xml:space="preserve"> ma doverosa</w:t>
      </w:r>
      <w:r w:rsidR="004A5A54" w:rsidRPr="00665924">
        <w:rPr>
          <w:rFonts w:cs="Times New Roman"/>
          <w:sz w:val="24"/>
        </w:rPr>
        <w:t>,</w:t>
      </w:r>
      <w:r w:rsidRPr="00665924">
        <w:rPr>
          <w:rFonts w:cs="Times New Roman"/>
          <w:sz w:val="24"/>
        </w:rPr>
        <w:t xml:space="preserve"> analisi del voto evidenzia come le fasce più a favore per l’uscita siano state quella dei 50 anni e più di età, probabilmente poiché questi gruppi tendono a vivere maggiormente la disillusione politica e a reagire favorevolmente ai discorsi populisti in cerca di un cambiamento, e le persone con un livello di istruzione più basso, sprovviste di mezzi per una fine analisi politica ed economica.</w:t>
      </w:r>
    </w:p>
    <w:p w:rsidR="0061740C" w:rsidRPr="00665924" w:rsidRDefault="00B86B28" w:rsidP="00665924">
      <w:pPr>
        <w:spacing w:line="360" w:lineRule="auto"/>
        <w:ind w:firstLine="397"/>
        <w:jc w:val="both"/>
        <w:rPr>
          <w:rFonts w:cs="Times New Roman"/>
          <w:sz w:val="24"/>
        </w:rPr>
      </w:pPr>
      <w:r w:rsidRPr="00665924">
        <w:rPr>
          <w:rFonts w:cs="Times New Roman"/>
          <w:noProof/>
          <w:sz w:val="24"/>
          <w:lang w:eastAsia="it-IT"/>
        </w:rPr>
        <mc:AlternateContent>
          <mc:Choice Requires="wps">
            <w:drawing>
              <wp:anchor distT="45720" distB="45720" distL="114300" distR="114300" simplePos="0" relativeHeight="251666432" behindDoc="0" locked="0" layoutInCell="1" allowOverlap="1">
                <wp:simplePos x="0" y="0"/>
                <wp:positionH relativeFrom="margin">
                  <wp:align>left</wp:align>
                </wp:positionH>
                <wp:positionV relativeFrom="paragraph">
                  <wp:posOffset>33020</wp:posOffset>
                </wp:positionV>
                <wp:extent cx="3181350" cy="2659380"/>
                <wp:effectExtent l="0" t="0" r="19050" b="26670"/>
                <wp:wrapThrough wrapText="bothSides">
                  <wp:wrapPolygon edited="0">
                    <wp:start x="0" y="0"/>
                    <wp:lineTo x="0" y="21662"/>
                    <wp:lineTo x="21600" y="21662"/>
                    <wp:lineTo x="21600" y="0"/>
                    <wp:lineTo x="0" y="0"/>
                  </wp:wrapPolygon>
                </wp:wrapThrough>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659380"/>
                        </a:xfrm>
                        <a:prstGeom prst="rect">
                          <a:avLst/>
                        </a:prstGeom>
                        <a:solidFill>
                          <a:srgbClr val="FFFFFF"/>
                        </a:solidFill>
                        <a:ln w="9525">
                          <a:solidFill>
                            <a:schemeClr val="bg1"/>
                          </a:solidFill>
                          <a:miter lim="800000"/>
                          <a:headEnd/>
                          <a:tailEnd/>
                        </a:ln>
                      </wps:spPr>
                      <wps:txbx>
                        <w:txbxContent>
                          <w:tbl>
                            <w:tblPr>
                              <w:tblStyle w:val="Grigliatabella"/>
                              <w:tblW w:w="47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tblGrid>
                            <w:tr w:rsidR="00B63BAD" w:rsidRPr="00281973" w:rsidTr="004A4437">
                              <w:trPr>
                                <w:trHeight w:val="3413"/>
                              </w:trPr>
                              <w:tc>
                                <w:tcPr>
                                  <w:tcW w:w="4741" w:type="dxa"/>
                                </w:tcPr>
                                <w:p w:rsidR="00B63BAD" w:rsidRPr="00281973" w:rsidRDefault="00B63BAD">
                                  <w:pPr>
                                    <w:rPr>
                                      <w:i/>
                                      <w:sz w:val="20"/>
                                    </w:rPr>
                                  </w:pPr>
                                  <w:r w:rsidRPr="00281973">
                                    <w:rPr>
                                      <w:b/>
                                      <w:i/>
                                      <w:noProof/>
                                      <w:sz w:val="20"/>
                                      <w:lang w:eastAsia="it-IT"/>
                                    </w:rPr>
                                    <w:drawing>
                                      <wp:inline distT="0" distB="0" distL="0" distR="0" wp14:anchorId="30150AC7" wp14:editId="324B4E35">
                                        <wp:extent cx="2933402" cy="2143125"/>
                                        <wp:effectExtent l="0" t="0" r="635" b="0"/>
                                        <wp:docPr id="24" name="Immagine 24" descr="C:\Users\Jacopo De Ang\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po De Ang\Desktop\Immag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402" cy="2143125"/>
                                                </a:xfrm>
                                                <a:prstGeom prst="rect">
                                                  <a:avLst/>
                                                </a:prstGeom>
                                                <a:noFill/>
                                                <a:ln>
                                                  <a:noFill/>
                                                </a:ln>
                                              </pic:spPr>
                                            </pic:pic>
                                          </a:graphicData>
                                        </a:graphic>
                                      </wp:inline>
                                    </w:drawing>
                                  </w:r>
                                </w:p>
                              </w:tc>
                            </w:tr>
                            <w:tr w:rsidR="00B63BAD" w:rsidRPr="00281973" w:rsidTr="004A4437">
                              <w:trPr>
                                <w:trHeight w:val="531"/>
                              </w:trPr>
                              <w:tc>
                                <w:tcPr>
                                  <w:tcW w:w="4741" w:type="dxa"/>
                                </w:tcPr>
                                <w:p w:rsidR="00B63BAD" w:rsidRPr="00281973" w:rsidRDefault="00B63BAD">
                                  <w:pPr>
                                    <w:rPr>
                                      <w:i/>
                                      <w:sz w:val="20"/>
                                    </w:rPr>
                                  </w:pPr>
                                  <w:proofErr w:type="spellStart"/>
                                  <w:r w:rsidRPr="00281973">
                                    <w:rPr>
                                      <w:b/>
                                      <w:i/>
                                      <w:sz w:val="20"/>
                                    </w:rPr>
                                    <w:t>Fig</w:t>
                                  </w:r>
                                  <w:proofErr w:type="spellEnd"/>
                                  <w:r w:rsidRPr="00281973">
                                    <w:rPr>
                                      <w:b/>
                                      <w:i/>
                                      <w:sz w:val="20"/>
                                    </w:rPr>
                                    <w:t xml:space="preserve"> 1.8.3</w:t>
                                  </w:r>
                                  <w:r>
                                    <w:rPr>
                                      <w:b/>
                                      <w:i/>
                                      <w:sz w:val="20"/>
                                    </w:rPr>
                                    <w:t xml:space="preserve"> - </w:t>
                                  </w:r>
                                  <w:r w:rsidRPr="00281973">
                                    <w:rPr>
                                      <w:i/>
                                      <w:sz w:val="20"/>
                                    </w:rPr>
                                    <w:t>Distribuzione geografica delle preferenze. Fonte: http://www.wired.it/</w:t>
                                  </w:r>
                                </w:p>
                              </w:tc>
                            </w:tr>
                          </w:tbl>
                          <w:p w:rsidR="00B63BAD" w:rsidRPr="00281973" w:rsidRDefault="00B63BAD">
                            <w:pPr>
                              <w:rPr>
                                <w:i/>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2.6pt;width:250.5pt;height:209.4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" strokecolor="white [3212]">
                <v:textbox>
                  <w:txbxContent>
                    <w:tbl>
                      <w:tblPr>
                        <w:tblStyle w:val="Grigliatabella"/>
                        <w:tblW w:w="47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tblGrid>
                      <w:tr w:rsidR="00B63BAD" w:rsidRPr="00281973" w:rsidTr="004A4437">
                        <w:trPr>
                          <w:trHeight w:val="3413"/>
                        </w:trPr>
                        <w:tc>
                          <w:tcPr>
                            <w:tcW w:w="4741" w:type="dxa"/>
                          </w:tcPr>
                          <w:p w:rsidR="00B63BAD" w:rsidRPr="00281973" w:rsidRDefault="00B63BAD">
                            <w:pPr>
                              <w:rPr>
                                <w:i/>
                                <w:sz w:val="20"/>
                              </w:rPr>
                            </w:pPr>
                            <w:r w:rsidRPr="00281973">
                              <w:rPr>
                                <w:b/>
                                <w:i/>
                                <w:noProof/>
                                <w:sz w:val="20"/>
                                <w:lang w:eastAsia="it-IT"/>
                              </w:rPr>
                              <w:drawing>
                                <wp:inline distT="0" distB="0" distL="0" distR="0" wp14:anchorId="30150AC7" wp14:editId="324B4E35">
                                  <wp:extent cx="2933402" cy="2143125"/>
                                  <wp:effectExtent l="0" t="0" r="635" b="0"/>
                                  <wp:docPr id="24" name="Immagine 24" descr="C:\Users\Jacopo De Ang\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po De Ang\Desktop\Immag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402" cy="2143125"/>
                                          </a:xfrm>
                                          <a:prstGeom prst="rect">
                                            <a:avLst/>
                                          </a:prstGeom>
                                          <a:noFill/>
                                          <a:ln>
                                            <a:noFill/>
                                          </a:ln>
                                        </pic:spPr>
                                      </pic:pic>
                                    </a:graphicData>
                                  </a:graphic>
                                </wp:inline>
                              </w:drawing>
                            </w:r>
                          </w:p>
                        </w:tc>
                      </w:tr>
                      <w:tr w:rsidR="00B63BAD" w:rsidRPr="00281973" w:rsidTr="004A4437">
                        <w:trPr>
                          <w:trHeight w:val="531"/>
                        </w:trPr>
                        <w:tc>
                          <w:tcPr>
                            <w:tcW w:w="4741" w:type="dxa"/>
                          </w:tcPr>
                          <w:p w:rsidR="00B63BAD" w:rsidRPr="00281973" w:rsidRDefault="00B63BAD">
                            <w:pPr>
                              <w:rPr>
                                <w:i/>
                                <w:sz w:val="20"/>
                              </w:rPr>
                            </w:pPr>
                            <w:proofErr w:type="spellStart"/>
                            <w:r w:rsidRPr="00281973">
                              <w:rPr>
                                <w:b/>
                                <w:i/>
                                <w:sz w:val="20"/>
                              </w:rPr>
                              <w:t>Fig</w:t>
                            </w:r>
                            <w:proofErr w:type="spellEnd"/>
                            <w:r w:rsidRPr="00281973">
                              <w:rPr>
                                <w:b/>
                                <w:i/>
                                <w:sz w:val="20"/>
                              </w:rPr>
                              <w:t xml:space="preserve"> 1.8.3</w:t>
                            </w:r>
                            <w:r>
                              <w:rPr>
                                <w:b/>
                                <w:i/>
                                <w:sz w:val="20"/>
                              </w:rPr>
                              <w:t xml:space="preserve"> - </w:t>
                            </w:r>
                            <w:r w:rsidRPr="00281973">
                              <w:rPr>
                                <w:i/>
                                <w:sz w:val="20"/>
                              </w:rPr>
                              <w:t>Distribuzione geografica delle preferenze. Fonte: http://www.wired.it/</w:t>
                            </w:r>
                          </w:p>
                        </w:tc>
                      </w:tr>
                    </w:tbl>
                    <w:p w:rsidR="00B63BAD" w:rsidRPr="00281973" w:rsidRDefault="00B63BAD">
                      <w:pPr>
                        <w:rPr>
                          <w:i/>
                          <w:sz w:val="20"/>
                        </w:rPr>
                      </w:pPr>
                    </w:p>
                  </w:txbxContent>
                </v:textbox>
                <w10:wrap type="through" anchorx="margin"/>
              </v:shape>
            </w:pict>
          </mc:Fallback>
        </mc:AlternateContent>
      </w:r>
      <w:r w:rsidR="0061740C" w:rsidRPr="00665924">
        <w:rPr>
          <w:rFonts w:cs="Times New Roman"/>
          <w:sz w:val="24"/>
        </w:rPr>
        <w:t xml:space="preserve">Un secondo fattore messo in questione è stata la minore affluenza da parte dei giovani alle urne, attribuita alla recente tendenza di andare via dal nucleo familiare </w:t>
      </w:r>
      <w:r w:rsidR="00F65499" w:rsidRPr="00665924">
        <w:rPr>
          <w:rFonts w:cs="Times New Roman"/>
          <w:sz w:val="24"/>
        </w:rPr>
        <w:t>originario</w:t>
      </w:r>
      <w:r w:rsidR="0061740C" w:rsidRPr="00665924">
        <w:rPr>
          <w:rFonts w:cs="Times New Roman"/>
          <w:sz w:val="24"/>
        </w:rPr>
        <w:t xml:space="preserve"> più tardi rispetto ad un tempo e, quindi, non ancora immerse nelle conseguenze dirette delle </w:t>
      </w:r>
      <w:r w:rsidR="00D20FD8" w:rsidRPr="00665924">
        <w:rPr>
          <w:rFonts w:cs="Times New Roman"/>
          <w:sz w:val="24"/>
        </w:rPr>
        <w:t>scelte operate dal governo</w:t>
      </w:r>
      <w:r w:rsidR="0061740C" w:rsidRPr="00665924">
        <w:rPr>
          <w:rFonts w:cs="Times New Roman"/>
          <w:sz w:val="24"/>
        </w:rPr>
        <w:t>.</w:t>
      </w:r>
    </w:p>
    <w:p w:rsidR="00F65499" w:rsidRPr="00665924" w:rsidRDefault="0034522B" w:rsidP="00665924">
      <w:pPr>
        <w:spacing w:line="360" w:lineRule="auto"/>
        <w:ind w:firstLine="397"/>
        <w:jc w:val="both"/>
        <w:rPr>
          <w:rFonts w:cs="Times New Roman"/>
          <w:sz w:val="24"/>
        </w:rPr>
      </w:pPr>
      <w:r w:rsidRPr="00665924">
        <w:rPr>
          <w:rFonts w:cs="Times New Roman"/>
          <w:sz w:val="24"/>
        </w:rPr>
        <w:t xml:space="preserve">Ultimo fattore è stato quello geografico: la popolazione rurale si è </w:t>
      </w:r>
      <w:r w:rsidRPr="00665924">
        <w:rPr>
          <w:rFonts w:cs="Times New Roman"/>
          <w:sz w:val="24"/>
        </w:rPr>
        <w:lastRenderedPageBreak/>
        <w:t xml:space="preserve">trovata vicino alle posizioni della </w:t>
      </w:r>
      <w:r w:rsidR="00B406A5">
        <w:rPr>
          <w:rFonts w:cs="Times New Roman"/>
          <w:sz w:val="24"/>
        </w:rPr>
        <w:t>Brexit</w:t>
      </w:r>
      <w:r w:rsidRPr="00665924">
        <w:rPr>
          <w:rFonts w:cs="Times New Roman"/>
          <w:sz w:val="24"/>
        </w:rPr>
        <w:t xml:space="preserve"> mentre quella urbana, soprattutto della City, luogo che tutt’ora beneficia del “</w:t>
      </w:r>
      <w:proofErr w:type="spellStart"/>
      <w:r w:rsidRPr="00665924">
        <w:rPr>
          <w:rFonts w:cs="Times New Roman"/>
          <w:sz w:val="24"/>
        </w:rPr>
        <w:t>melting</w:t>
      </w:r>
      <w:proofErr w:type="spellEnd"/>
      <w:r w:rsidRPr="00665924">
        <w:rPr>
          <w:rFonts w:cs="Times New Roman"/>
          <w:sz w:val="24"/>
        </w:rPr>
        <w:t xml:space="preserve"> </w:t>
      </w:r>
      <w:proofErr w:type="spellStart"/>
      <w:r w:rsidRPr="00665924">
        <w:rPr>
          <w:rFonts w:cs="Times New Roman"/>
          <w:sz w:val="24"/>
        </w:rPr>
        <w:t>pot</w:t>
      </w:r>
      <w:proofErr w:type="spellEnd"/>
      <w:r w:rsidRPr="00665924">
        <w:rPr>
          <w:rFonts w:cs="Times New Roman"/>
          <w:sz w:val="24"/>
        </w:rPr>
        <w:t>” derivante dall’immigrazione, è stata a favore della permanenza nell’unione.</w:t>
      </w:r>
    </w:p>
    <w:p w:rsidR="0034522B" w:rsidRDefault="00F65499" w:rsidP="00665924">
      <w:pPr>
        <w:pStyle w:val="Titolo2"/>
        <w:numPr>
          <w:ilvl w:val="1"/>
          <w:numId w:val="3"/>
        </w:numPr>
        <w:spacing w:line="360" w:lineRule="auto"/>
        <w:rPr>
          <w:rFonts w:cs="Times New Roman"/>
        </w:rPr>
      </w:pPr>
      <w:bookmarkStart w:id="10" w:name="_Toc475559356"/>
      <w:r w:rsidRPr="00665924">
        <w:rPr>
          <w:rFonts w:cs="Times New Roman"/>
        </w:rPr>
        <w:t>Esiti politici del referendum</w:t>
      </w:r>
      <w:bookmarkEnd w:id="10"/>
    </w:p>
    <w:p w:rsidR="00B84145" w:rsidRPr="00B84145" w:rsidRDefault="00B84145" w:rsidP="00B84145"/>
    <w:p w:rsidR="00F65499" w:rsidRPr="00665924" w:rsidRDefault="0051464A" w:rsidP="00665924">
      <w:pPr>
        <w:spacing w:line="360" w:lineRule="auto"/>
        <w:ind w:firstLine="397"/>
        <w:jc w:val="both"/>
        <w:rPr>
          <w:rFonts w:cs="Times New Roman"/>
          <w:sz w:val="24"/>
        </w:rPr>
      </w:pPr>
      <w:r w:rsidRPr="00665924">
        <w:rPr>
          <w:rFonts w:cs="Times New Roman"/>
          <w:sz w:val="24"/>
        </w:rPr>
        <w:t>Il 24 giugno David Cameron annuncia le sue dimissioni entro ottobre, smentendo la precedente affermazione riguardante la sua permanenza come Primo Ministro indipendentemente dall’esito del referendum.</w:t>
      </w:r>
      <w:r w:rsidR="00552024" w:rsidRPr="00665924">
        <w:rPr>
          <w:rFonts w:cs="Times New Roman"/>
          <w:sz w:val="24"/>
        </w:rPr>
        <w:t xml:space="preserve"> Nell’incertezza generale, gli inglesi iniziano a conoscere la seconda faccia dei leader separatisti.</w:t>
      </w:r>
    </w:p>
    <w:p w:rsidR="00552024" w:rsidRPr="00665924" w:rsidRDefault="002630B8" w:rsidP="00665924">
      <w:pPr>
        <w:spacing w:line="360" w:lineRule="auto"/>
        <w:ind w:firstLine="397"/>
        <w:jc w:val="both"/>
        <w:rPr>
          <w:rFonts w:cs="Times New Roman"/>
          <w:sz w:val="24"/>
        </w:rPr>
      </w:pPr>
      <w:r w:rsidRPr="00665924">
        <w:rPr>
          <w:rFonts w:cs="Times New Roman"/>
          <w:sz w:val="24"/>
        </w:rPr>
        <w:t xml:space="preserve">Boris Johnson, ex sindaco di Londra, aveva dichiarato durante un dibattito televisivo che il Regno Unito, in caso di vittoria della </w:t>
      </w:r>
      <w:r w:rsidR="00B406A5">
        <w:rPr>
          <w:rFonts w:cs="Times New Roman"/>
          <w:sz w:val="24"/>
        </w:rPr>
        <w:t>Brexit</w:t>
      </w:r>
      <w:r w:rsidRPr="00665924">
        <w:rPr>
          <w:rFonts w:cs="Times New Roman"/>
          <w:sz w:val="24"/>
        </w:rPr>
        <w:t>, non avrebbe più versato 350 milioni di sterline alla settimana nelle casse dell’Unione Europea</w:t>
      </w:r>
      <w:r w:rsidRPr="00665924">
        <w:rPr>
          <w:rStyle w:val="Rimandonotaapidipagina"/>
          <w:rFonts w:cs="Times New Roman"/>
          <w:sz w:val="24"/>
        </w:rPr>
        <w:footnoteReference w:id="2"/>
      </w:r>
      <w:r w:rsidRPr="00665924">
        <w:rPr>
          <w:rFonts w:cs="Times New Roman"/>
          <w:sz w:val="24"/>
        </w:rPr>
        <w:t>, cifra sovrastimata poiché erano circa 190 milioni</w:t>
      </w:r>
      <w:r w:rsidR="000D0EED" w:rsidRPr="00665924">
        <w:rPr>
          <w:rStyle w:val="Rimandonotaapidipagina"/>
          <w:rFonts w:cs="Times New Roman"/>
          <w:sz w:val="24"/>
        </w:rPr>
        <w:footnoteReference w:id="3"/>
      </w:r>
      <w:r w:rsidRPr="00665924">
        <w:rPr>
          <w:rFonts w:cs="Times New Roman"/>
          <w:sz w:val="24"/>
        </w:rPr>
        <w:t xml:space="preserve">, circa il 46% in meno, e che avrebbero usato quei soldi per finanziare il NHS (National </w:t>
      </w:r>
      <w:proofErr w:type="spellStart"/>
      <w:r w:rsidRPr="00665924">
        <w:rPr>
          <w:rFonts w:cs="Times New Roman"/>
          <w:sz w:val="24"/>
        </w:rPr>
        <w:t>Health</w:t>
      </w:r>
      <w:proofErr w:type="spellEnd"/>
      <w:r w:rsidRPr="00665924">
        <w:rPr>
          <w:rFonts w:cs="Times New Roman"/>
          <w:sz w:val="24"/>
        </w:rPr>
        <w:t xml:space="preserve"> System)</w:t>
      </w:r>
      <w:r w:rsidR="000D0EED" w:rsidRPr="00665924">
        <w:rPr>
          <w:rFonts w:cs="Times New Roman"/>
          <w:sz w:val="24"/>
        </w:rPr>
        <w:t xml:space="preserve">. Nigel </w:t>
      </w:r>
      <w:proofErr w:type="spellStart"/>
      <w:r w:rsidR="000D0EED" w:rsidRPr="00665924">
        <w:rPr>
          <w:rFonts w:cs="Times New Roman"/>
          <w:sz w:val="24"/>
        </w:rPr>
        <w:t>Farage</w:t>
      </w:r>
      <w:proofErr w:type="spellEnd"/>
      <w:r w:rsidR="000D0EED" w:rsidRPr="00665924">
        <w:rPr>
          <w:rFonts w:cs="Times New Roman"/>
          <w:sz w:val="24"/>
        </w:rPr>
        <w:t>, intervistato il giorno dopo il voto, dichiarò che quell’affermazione fu un errore</w:t>
      </w:r>
      <w:r w:rsidR="00A31CB7" w:rsidRPr="00665924">
        <w:rPr>
          <w:rStyle w:val="Rimandonotaapidipagina"/>
          <w:rFonts w:cs="Times New Roman"/>
          <w:sz w:val="24"/>
        </w:rPr>
        <w:footnoteReference w:id="4"/>
      </w:r>
      <w:r w:rsidR="000D0EED" w:rsidRPr="00665924">
        <w:rPr>
          <w:rFonts w:cs="Times New Roman"/>
          <w:sz w:val="24"/>
        </w:rPr>
        <w:t xml:space="preserve"> e che il </w:t>
      </w:r>
      <w:proofErr w:type="spellStart"/>
      <w:r w:rsidR="000D0EED" w:rsidRPr="00665924">
        <w:rPr>
          <w:rFonts w:cs="Times New Roman"/>
          <w:sz w:val="24"/>
        </w:rPr>
        <w:t>reindirizzamento</w:t>
      </w:r>
      <w:proofErr w:type="spellEnd"/>
      <w:r w:rsidR="000D0EED" w:rsidRPr="00665924">
        <w:rPr>
          <w:rFonts w:cs="Times New Roman"/>
          <w:sz w:val="24"/>
        </w:rPr>
        <w:t xml:space="preserve"> dei fondi verso il sistema sanitario non sarebbe stato certo.</w:t>
      </w:r>
    </w:p>
    <w:p w:rsidR="000D0EED" w:rsidRPr="00665924" w:rsidRDefault="000D0EED" w:rsidP="00665924">
      <w:pPr>
        <w:spacing w:line="360" w:lineRule="auto"/>
        <w:ind w:firstLine="397"/>
        <w:jc w:val="both"/>
        <w:rPr>
          <w:rFonts w:cs="Times New Roman"/>
          <w:sz w:val="24"/>
        </w:rPr>
      </w:pPr>
      <w:r w:rsidRPr="00665924">
        <w:rPr>
          <w:rFonts w:cs="Times New Roman"/>
          <w:sz w:val="24"/>
        </w:rPr>
        <w:t xml:space="preserve">Un secondo strumento politico che venne usato durante la campagna referendaria fu </w:t>
      </w:r>
      <w:r w:rsidR="00A17975">
        <w:rPr>
          <w:rFonts w:cs="Times New Roman"/>
          <w:sz w:val="24"/>
        </w:rPr>
        <w:t xml:space="preserve">un </w:t>
      </w:r>
      <w:r w:rsidRPr="00665924">
        <w:rPr>
          <w:rFonts w:cs="Times New Roman"/>
          <w:sz w:val="24"/>
        </w:rPr>
        <w:t>lungometraggio intitolato “</w:t>
      </w:r>
      <w:r w:rsidR="00B406A5">
        <w:rPr>
          <w:rFonts w:cs="Times New Roman"/>
          <w:sz w:val="24"/>
        </w:rPr>
        <w:t>Brexit</w:t>
      </w:r>
      <w:r w:rsidRPr="00665924">
        <w:rPr>
          <w:rFonts w:cs="Times New Roman"/>
          <w:sz w:val="24"/>
        </w:rPr>
        <w:t xml:space="preserve">: the movie”, ancora visualizzabile su </w:t>
      </w:r>
      <w:proofErr w:type="spellStart"/>
      <w:r w:rsidRPr="00665924">
        <w:rPr>
          <w:rFonts w:cs="Times New Roman"/>
          <w:sz w:val="24"/>
        </w:rPr>
        <w:t>Youtube</w:t>
      </w:r>
      <w:proofErr w:type="spellEnd"/>
      <w:r w:rsidRPr="00665924">
        <w:rPr>
          <w:rFonts w:cs="Times New Roman"/>
          <w:sz w:val="24"/>
        </w:rPr>
        <w:t>, nel quale venivano elencate leggi europee che, a detta degli sceneggiatori, condizionavano la vita dei cittadini europei. Molte di quelle leggi erano</w:t>
      </w:r>
      <w:r w:rsidR="00690BF9" w:rsidRPr="00665924">
        <w:rPr>
          <w:rFonts w:cs="Times New Roman"/>
          <w:sz w:val="24"/>
        </w:rPr>
        <w:t>,</w:t>
      </w:r>
      <w:r w:rsidRPr="00665924">
        <w:rPr>
          <w:rFonts w:cs="Times New Roman"/>
          <w:sz w:val="24"/>
        </w:rPr>
        <w:t xml:space="preserve"> però</w:t>
      </w:r>
      <w:r w:rsidR="00690BF9" w:rsidRPr="00665924">
        <w:rPr>
          <w:rFonts w:cs="Times New Roman"/>
          <w:sz w:val="24"/>
        </w:rPr>
        <w:t>,</w:t>
      </w:r>
      <w:r w:rsidRPr="00665924">
        <w:rPr>
          <w:rFonts w:cs="Times New Roman"/>
          <w:sz w:val="24"/>
        </w:rPr>
        <w:t xml:space="preserve"> non inerenti agli aspetti trattati, creando una finta mole normativa. </w:t>
      </w:r>
    </w:p>
    <w:p w:rsidR="0034522B" w:rsidRPr="00665924" w:rsidRDefault="00690BF9" w:rsidP="00665924">
      <w:pPr>
        <w:spacing w:line="360" w:lineRule="auto"/>
        <w:ind w:firstLine="397"/>
        <w:jc w:val="both"/>
        <w:rPr>
          <w:rFonts w:cs="Times New Roman"/>
          <w:sz w:val="24"/>
        </w:rPr>
      </w:pPr>
      <w:r w:rsidRPr="00665924">
        <w:rPr>
          <w:rFonts w:cs="Times New Roman"/>
          <w:sz w:val="24"/>
        </w:rPr>
        <w:t xml:space="preserve">Un argomento molto sentito in alcune regioni del Regno Unito era l’immigrazione, vista con paura. Come spiegato da Thomas </w:t>
      </w:r>
      <w:proofErr w:type="spellStart"/>
      <w:r w:rsidRPr="00665924">
        <w:rPr>
          <w:rFonts w:cs="Times New Roman"/>
          <w:sz w:val="24"/>
        </w:rPr>
        <w:t>Samson</w:t>
      </w:r>
      <w:proofErr w:type="spellEnd"/>
      <w:r w:rsidRPr="00665924">
        <w:rPr>
          <w:rFonts w:cs="Times New Roman"/>
          <w:sz w:val="24"/>
        </w:rPr>
        <w:t xml:space="preserve">, Dottore in economia alla </w:t>
      </w:r>
      <w:proofErr w:type="spellStart"/>
      <w:r w:rsidRPr="00665924">
        <w:rPr>
          <w:rFonts w:cs="Times New Roman"/>
          <w:sz w:val="24"/>
        </w:rPr>
        <w:t>London</w:t>
      </w:r>
      <w:proofErr w:type="spellEnd"/>
      <w:r w:rsidRPr="00665924">
        <w:rPr>
          <w:rFonts w:cs="Times New Roman"/>
          <w:sz w:val="24"/>
        </w:rPr>
        <w:t xml:space="preserve"> School of </w:t>
      </w:r>
      <w:proofErr w:type="spellStart"/>
      <w:r w:rsidRPr="00665924">
        <w:rPr>
          <w:rFonts w:cs="Times New Roman"/>
          <w:sz w:val="24"/>
        </w:rPr>
        <w:t>Economics</w:t>
      </w:r>
      <w:proofErr w:type="spellEnd"/>
      <w:r w:rsidRPr="00665924">
        <w:rPr>
          <w:rFonts w:cs="Times New Roman"/>
          <w:sz w:val="24"/>
        </w:rPr>
        <w:t xml:space="preserve"> and </w:t>
      </w:r>
      <w:proofErr w:type="spellStart"/>
      <w:r w:rsidRPr="00665924">
        <w:rPr>
          <w:rFonts w:cs="Times New Roman"/>
          <w:sz w:val="24"/>
        </w:rPr>
        <w:t>Political</w:t>
      </w:r>
      <w:proofErr w:type="spellEnd"/>
      <w:r w:rsidRPr="00665924">
        <w:rPr>
          <w:rFonts w:cs="Times New Roman"/>
          <w:sz w:val="24"/>
        </w:rPr>
        <w:t xml:space="preserve"> Science, gli inglesi potrebbero controllare completamente i flussi migratori verso il loro territorio solo se accettassero anche di separarsi dal mercato unico.</w:t>
      </w:r>
      <w:r w:rsidRPr="00665924">
        <w:rPr>
          <w:rStyle w:val="Rimandonotaapidipagina"/>
          <w:rFonts w:cs="Times New Roman"/>
          <w:sz w:val="24"/>
        </w:rPr>
        <w:footnoteReference w:id="5"/>
      </w:r>
    </w:p>
    <w:p w:rsidR="00462CF9" w:rsidRPr="00665924" w:rsidRDefault="00F14518" w:rsidP="00665924">
      <w:pPr>
        <w:spacing w:line="360" w:lineRule="auto"/>
        <w:ind w:firstLine="397"/>
        <w:jc w:val="both"/>
        <w:rPr>
          <w:rFonts w:cs="Times New Roman"/>
          <w:sz w:val="24"/>
        </w:rPr>
      </w:pPr>
      <w:r w:rsidRPr="00665924">
        <w:rPr>
          <w:rFonts w:cs="Times New Roman"/>
          <w:sz w:val="24"/>
        </w:rPr>
        <w:lastRenderedPageBreak/>
        <w:t>Un’ultima dichiarazione tra quelle che analizzeremo era che le famiglie inglesi avrebbero pagato meno all’anno in caso di vittoria del sì, fatto smentito dagli economisti e dal tesoro già prima del voto</w:t>
      </w:r>
      <w:r w:rsidRPr="00665924">
        <w:rPr>
          <w:rStyle w:val="Rimandonotaapidipagina"/>
          <w:rFonts w:cs="Times New Roman"/>
          <w:sz w:val="24"/>
        </w:rPr>
        <w:footnoteReference w:id="6"/>
      </w:r>
      <w:r w:rsidRPr="00665924">
        <w:rPr>
          <w:rFonts w:cs="Times New Roman"/>
          <w:sz w:val="24"/>
        </w:rPr>
        <w:t>.</w:t>
      </w:r>
    </w:p>
    <w:p w:rsidR="00462CF9" w:rsidRPr="00665924" w:rsidRDefault="00462CF9" w:rsidP="00665924">
      <w:pPr>
        <w:spacing w:line="360" w:lineRule="auto"/>
        <w:ind w:firstLine="397"/>
        <w:jc w:val="both"/>
        <w:rPr>
          <w:rFonts w:cs="Times New Roman"/>
          <w:sz w:val="24"/>
        </w:rPr>
      </w:pPr>
      <w:r w:rsidRPr="00665924">
        <w:rPr>
          <w:rFonts w:cs="Times New Roman"/>
          <w:sz w:val="24"/>
        </w:rPr>
        <w:t xml:space="preserve">Il 14 luglio </w:t>
      </w:r>
      <w:proofErr w:type="spellStart"/>
      <w:r w:rsidRPr="00665924">
        <w:rPr>
          <w:rFonts w:cs="Times New Roman"/>
          <w:sz w:val="24"/>
        </w:rPr>
        <w:t>Theresa</w:t>
      </w:r>
      <w:proofErr w:type="spellEnd"/>
      <w:r w:rsidRPr="00665924">
        <w:rPr>
          <w:rFonts w:cs="Times New Roman"/>
          <w:sz w:val="24"/>
        </w:rPr>
        <w:t xml:space="preserve"> </w:t>
      </w:r>
      <w:proofErr w:type="spellStart"/>
      <w:r w:rsidRPr="00665924">
        <w:rPr>
          <w:rFonts w:cs="Times New Roman"/>
          <w:sz w:val="24"/>
        </w:rPr>
        <w:t>May</w:t>
      </w:r>
      <w:proofErr w:type="spellEnd"/>
      <w:r w:rsidRPr="00665924">
        <w:rPr>
          <w:rFonts w:cs="Times New Roman"/>
          <w:sz w:val="24"/>
        </w:rPr>
        <w:t xml:space="preserve">, membro del partito conservatore, diventa il nuovo Primo Ministro inglese. Durante il suo discorso di insediamento, </w:t>
      </w:r>
      <w:proofErr w:type="spellStart"/>
      <w:r w:rsidRPr="00665924">
        <w:rPr>
          <w:rFonts w:cs="Times New Roman"/>
          <w:sz w:val="24"/>
        </w:rPr>
        <w:t>May</w:t>
      </w:r>
      <w:proofErr w:type="spellEnd"/>
      <w:r w:rsidRPr="00665924">
        <w:rPr>
          <w:rFonts w:cs="Times New Roman"/>
          <w:sz w:val="24"/>
        </w:rPr>
        <w:t xml:space="preserve"> ha dichiarato che, nonostante la sua preferenza verso il </w:t>
      </w:r>
      <w:proofErr w:type="spellStart"/>
      <w:r w:rsidRPr="00665924">
        <w:rPr>
          <w:rFonts w:cs="Times New Roman"/>
          <w:sz w:val="24"/>
        </w:rPr>
        <w:t>remain</w:t>
      </w:r>
      <w:proofErr w:type="spellEnd"/>
      <w:r w:rsidRPr="00665924">
        <w:rPr>
          <w:rFonts w:cs="Times New Roman"/>
          <w:sz w:val="24"/>
        </w:rPr>
        <w:t>, avrebbe comunque continuato la strada decisa dal referendum.</w:t>
      </w:r>
    </w:p>
    <w:p w:rsidR="00462CF9" w:rsidRPr="00665924" w:rsidRDefault="00462CF9" w:rsidP="00665924">
      <w:pPr>
        <w:spacing w:line="360" w:lineRule="auto"/>
        <w:ind w:firstLine="397"/>
        <w:jc w:val="both"/>
        <w:rPr>
          <w:rFonts w:cs="Times New Roman"/>
          <w:sz w:val="24"/>
        </w:rPr>
      </w:pPr>
      <w:r w:rsidRPr="00665924">
        <w:rPr>
          <w:rFonts w:cs="Times New Roman"/>
          <w:sz w:val="24"/>
        </w:rPr>
        <w:t xml:space="preserve">I due scenari </w:t>
      </w:r>
      <w:r w:rsidR="006A3939" w:rsidRPr="00665924">
        <w:rPr>
          <w:rFonts w:cs="Times New Roman"/>
          <w:sz w:val="24"/>
        </w:rPr>
        <w:t xml:space="preserve">a questo </w:t>
      </w:r>
      <w:r w:rsidR="00FC7C0B" w:rsidRPr="00665924">
        <w:rPr>
          <w:rFonts w:cs="Times New Roman"/>
          <w:sz w:val="24"/>
        </w:rPr>
        <w:t xml:space="preserve">punto </w:t>
      </w:r>
      <w:r w:rsidR="006A3939" w:rsidRPr="00665924">
        <w:rPr>
          <w:rFonts w:cs="Times New Roman"/>
          <w:sz w:val="24"/>
        </w:rPr>
        <w:t>furono</w:t>
      </w:r>
      <w:r w:rsidRPr="00665924">
        <w:rPr>
          <w:rFonts w:cs="Times New Roman"/>
          <w:sz w:val="24"/>
        </w:rPr>
        <w:t>:</w:t>
      </w:r>
    </w:p>
    <w:p w:rsidR="00462CF9" w:rsidRPr="00665924" w:rsidRDefault="00462CF9" w:rsidP="00665924">
      <w:pPr>
        <w:pStyle w:val="Paragrafoelenco"/>
        <w:numPr>
          <w:ilvl w:val="0"/>
          <w:numId w:val="5"/>
        </w:numPr>
        <w:spacing w:line="360" w:lineRule="auto"/>
        <w:jc w:val="both"/>
        <w:rPr>
          <w:rFonts w:cs="Times New Roman"/>
          <w:sz w:val="24"/>
        </w:rPr>
      </w:pPr>
      <w:r w:rsidRPr="00665924">
        <w:rPr>
          <w:rFonts w:cs="Times New Roman"/>
          <w:sz w:val="24"/>
        </w:rPr>
        <w:t>L’applicazione dell’articolo 50 del Trattato di Lisbona, il quale prevede un meccanismo di recesso volontario e unilaterale di un paese dall'Unione europea.</w:t>
      </w:r>
      <w:r w:rsidRPr="00665924">
        <w:rPr>
          <w:rFonts w:cs="Times New Roman"/>
          <w:sz w:val="24"/>
        </w:rPr>
        <w:br/>
        <w:t>Dopo aver notificato la volontà di separazione, il paese e l’Unione hanno un periodo di due anni per stabilire i termini dei rapporti successiv</w:t>
      </w:r>
      <w:r w:rsidR="003C3209" w:rsidRPr="00665924">
        <w:rPr>
          <w:rFonts w:cs="Times New Roman"/>
          <w:sz w:val="24"/>
        </w:rPr>
        <w:t>i;</w:t>
      </w:r>
    </w:p>
    <w:p w:rsidR="003C3209" w:rsidRPr="00665924" w:rsidRDefault="00124DBA" w:rsidP="00665924">
      <w:pPr>
        <w:pStyle w:val="Paragrafoelenco"/>
        <w:numPr>
          <w:ilvl w:val="0"/>
          <w:numId w:val="5"/>
        </w:numPr>
        <w:spacing w:line="360" w:lineRule="auto"/>
        <w:jc w:val="both"/>
        <w:rPr>
          <w:rFonts w:cs="Times New Roman"/>
          <w:sz w:val="24"/>
        </w:rPr>
      </w:pPr>
      <w:r w:rsidRPr="00665924">
        <w:rPr>
          <w:rFonts w:cs="Times New Roman"/>
          <w:sz w:val="24"/>
        </w:rPr>
        <w:t>Un gruppo di avvocati costituzionalisti ha reso noto</w:t>
      </w:r>
      <w:r w:rsidR="006A3939" w:rsidRPr="00665924">
        <w:rPr>
          <w:rFonts w:cs="Times New Roman"/>
          <w:sz w:val="24"/>
        </w:rPr>
        <w:t xml:space="preserve"> ad ottobre </w:t>
      </w:r>
      <w:r w:rsidRPr="00665924">
        <w:rPr>
          <w:rFonts w:cs="Times New Roman"/>
          <w:sz w:val="24"/>
        </w:rPr>
        <w:t xml:space="preserve">che, secondo le loro analisi, è il parlamento a doversi esprimere </w:t>
      </w:r>
      <w:r w:rsidR="00270A11" w:rsidRPr="00665924">
        <w:rPr>
          <w:rFonts w:cs="Times New Roman"/>
          <w:sz w:val="24"/>
        </w:rPr>
        <w:t>riguardo l’inizio delle trattative e non il governo</w:t>
      </w:r>
      <w:r w:rsidR="006A3939" w:rsidRPr="00665924">
        <w:rPr>
          <w:rFonts w:cs="Times New Roman"/>
          <w:sz w:val="24"/>
        </w:rPr>
        <w:t xml:space="preserve">, dando quindi un’occasione per eliminare l’esito del referendum dopo alcuni mesi durante i quali gli inglesi hanno sperimentato gli effetti della </w:t>
      </w:r>
      <w:r w:rsidR="00B406A5">
        <w:rPr>
          <w:rFonts w:cs="Times New Roman"/>
          <w:sz w:val="24"/>
        </w:rPr>
        <w:t>Brexit</w:t>
      </w:r>
      <w:r w:rsidR="006A3939" w:rsidRPr="00665924">
        <w:rPr>
          <w:rFonts w:cs="Times New Roman"/>
          <w:sz w:val="24"/>
        </w:rPr>
        <w:t>. Questa possibilità è venuta meno dopo che il parlamento ha accettato il voto e ha stabilito che l’inizio delle discussioni dovrà iniziare entro marzo 2017.</w:t>
      </w:r>
    </w:p>
    <w:p w:rsidR="00540876" w:rsidRPr="00665924" w:rsidRDefault="00FC7C0B" w:rsidP="00665924">
      <w:pPr>
        <w:spacing w:line="360" w:lineRule="auto"/>
        <w:jc w:val="both"/>
        <w:rPr>
          <w:rFonts w:cs="Times New Roman"/>
          <w:sz w:val="24"/>
        </w:rPr>
      </w:pPr>
      <w:r w:rsidRPr="00665924">
        <w:rPr>
          <w:rFonts w:cs="Times New Roman"/>
          <w:sz w:val="24"/>
        </w:rPr>
        <w:t xml:space="preserve">L’intento di questa tesi è analizzare le conseguenze economiche, finanziarie e reali, della </w:t>
      </w:r>
      <w:r w:rsidR="00B406A5">
        <w:rPr>
          <w:rFonts w:cs="Times New Roman"/>
          <w:sz w:val="24"/>
        </w:rPr>
        <w:t>Brexit</w:t>
      </w:r>
      <w:r w:rsidRPr="00665924">
        <w:rPr>
          <w:rFonts w:cs="Times New Roman"/>
          <w:sz w:val="24"/>
        </w:rPr>
        <w:t xml:space="preserve"> e la ricerca di eventuali eventi benefici derivanti da questa.</w:t>
      </w:r>
    </w:p>
    <w:p w:rsidR="00540876" w:rsidRPr="00665924" w:rsidRDefault="00540876" w:rsidP="00665924">
      <w:pPr>
        <w:spacing w:line="360" w:lineRule="auto"/>
        <w:rPr>
          <w:rFonts w:cs="Times New Roman"/>
          <w:sz w:val="24"/>
        </w:rPr>
      </w:pPr>
      <w:r w:rsidRPr="00665924">
        <w:rPr>
          <w:rFonts w:cs="Times New Roman"/>
          <w:sz w:val="24"/>
        </w:rPr>
        <w:br w:type="page"/>
      </w:r>
    </w:p>
    <w:p w:rsidR="00A573E1" w:rsidRDefault="00540876" w:rsidP="00665924">
      <w:pPr>
        <w:pStyle w:val="Titolo1"/>
        <w:numPr>
          <w:ilvl w:val="0"/>
          <w:numId w:val="3"/>
        </w:numPr>
        <w:spacing w:line="360" w:lineRule="auto"/>
        <w:rPr>
          <w:rFonts w:cs="Times New Roman"/>
        </w:rPr>
      </w:pPr>
      <w:bookmarkStart w:id="11" w:name="_Toc475559357"/>
      <w:r w:rsidRPr="00665924">
        <w:rPr>
          <w:rFonts w:cs="Times New Roman"/>
        </w:rPr>
        <w:lastRenderedPageBreak/>
        <w:t xml:space="preserve">Effetti finanziari della </w:t>
      </w:r>
      <w:r w:rsidR="00B406A5">
        <w:rPr>
          <w:rFonts w:cs="Times New Roman"/>
        </w:rPr>
        <w:t>Brexit</w:t>
      </w:r>
      <w:bookmarkEnd w:id="11"/>
    </w:p>
    <w:p w:rsidR="00B84145" w:rsidRPr="00B84145" w:rsidRDefault="00B84145" w:rsidP="00B84145"/>
    <w:p w:rsidR="007C0816" w:rsidRDefault="00C67A2B" w:rsidP="00665924">
      <w:pPr>
        <w:pStyle w:val="Titolo2"/>
        <w:numPr>
          <w:ilvl w:val="1"/>
          <w:numId w:val="3"/>
        </w:numPr>
        <w:spacing w:line="360" w:lineRule="auto"/>
        <w:rPr>
          <w:rFonts w:cs="Times New Roman"/>
        </w:rPr>
      </w:pPr>
      <w:bookmarkStart w:id="12" w:name="_Toc475559358"/>
      <w:r w:rsidRPr="00665924">
        <w:rPr>
          <w:rFonts w:cs="Times New Roman"/>
        </w:rPr>
        <w:t xml:space="preserve">Possibili scenari </w:t>
      </w:r>
      <w:r w:rsidR="00414A5D">
        <w:rPr>
          <w:rFonts w:cs="Times New Roman"/>
        </w:rPr>
        <w:t>futuri</w:t>
      </w:r>
      <w:bookmarkEnd w:id="12"/>
      <w:r w:rsidR="007C0816" w:rsidRPr="00665924">
        <w:rPr>
          <w:rFonts w:cs="Times New Roman"/>
        </w:rPr>
        <w:t xml:space="preserve"> </w:t>
      </w:r>
    </w:p>
    <w:p w:rsidR="00B84145" w:rsidRPr="00B84145" w:rsidRDefault="00B84145" w:rsidP="00B84145"/>
    <w:p w:rsidR="00664A36" w:rsidRPr="00665924" w:rsidRDefault="00664A36" w:rsidP="00665924">
      <w:pPr>
        <w:spacing w:line="360" w:lineRule="auto"/>
        <w:ind w:firstLine="397"/>
        <w:jc w:val="both"/>
        <w:rPr>
          <w:rFonts w:cs="Times New Roman"/>
          <w:sz w:val="24"/>
        </w:rPr>
      </w:pPr>
      <w:r w:rsidRPr="00665924">
        <w:rPr>
          <w:rFonts w:cs="Times New Roman"/>
          <w:sz w:val="24"/>
        </w:rPr>
        <w:t xml:space="preserve">Analizzare oggi i possibili effetti nel lungo termine della </w:t>
      </w:r>
      <w:r w:rsidR="00B406A5">
        <w:rPr>
          <w:rFonts w:cs="Times New Roman"/>
          <w:sz w:val="24"/>
        </w:rPr>
        <w:t>Brexit</w:t>
      </w:r>
      <w:r w:rsidRPr="00665924">
        <w:rPr>
          <w:rFonts w:cs="Times New Roman"/>
          <w:sz w:val="24"/>
        </w:rPr>
        <w:t xml:space="preserve"> è pressoché impossibile, l’incertezza riguardante i futuri possibili accordi tra Gran Bretagna e Unione Europea proietta la sua ombra sui piani finanziari delle aziende.</w:t>
      </w:r>
    </w:p>
    <w:p w:rsidR="00F564F1" w:rsidRPr="00665924" w:rsidRDefault="00664A36" w:rsidP="00665924">
      <w:pPr>
        <w:spacing w:line="360" w:lineRule="auto"/>
        <w:ind w:firstLine="397"/>
        <w:jc w:val="both"/>
        <w:rPr>
          <w:rFonts w:cs="Times New Roman"/>
          <w:sz w:val="24"/>
        </w:rPr>
      </w:pPr>
      <w:r w:rsidRPr="00665924">
        <w:rPr>
          <w:rFonts w:cs="Times New Roman"/>
          <w:sz w:val="24"/>
        </w:rPr>
        <w:t>Un primo passo è ipotizzare il tipo di relazione che potrebbe instaurarsi tra le due potenze dopo i due anni:</w:t>
      </w:r>
    </w:p>
    <w:p w:rsidR="007C0816" w:rsidRPr="00665924" w:rsidRDefault="00664A36" w:rsidP="00665924">
      <w:pPr>
        <w:pStyle w:val="Paragrafoelenco"/>
        <w:numPr>
          <w:ilvl w:val="0"/>
          <w:numId w:val="12"/>
        </w:numPr>
        <w:spacing w:line="360" w:lineRule="auto"/>
        <w:jc w:val="both"/>
        <w:rPr>
          <w:rFonts w:cs="Times New Roman"/>
          <w:sz w:val="24"/>
        </w:rPr>
      </w:pPr>
      <w:r w:rsidRPr="00665924">
        <w:rPr>
          <w:rFonts w:cs="Times New Roman"/>
          <w:sz w:val="24"/>
        </w:rPr>
        <w:t xml:space="preserve">Un accordo simile a quello tra Norvegia e UE: </w:t>
      </w:r>
      <w:r w:rsidR="007C0816" w:rsidRPr="00665924">
        <w:rPr>
          <w:rFonts w:cs="Times New Roman"/>
          <w:sz w:val="24"/>
        </w:rPr>
        <w:t>la Gran Bretagna manterrebbe un completo accesso al mercato unico ma dovrebbe adottare gli standard europei senza poterli influenzare. Dovrebbe comunque partecipare al bilancio europeo ma non potrebbe imporre limiti all’immigrazione. Questo tipo di accordo andrebbe contro la volontà indipendentista dietro al referendum, rendendo questa via inaccessibile politicamente;</w:t>
      </w:r>
    </w:p>
    <w:p w:rsidR="007C0816" w:rsidRPr="00665924" w:rsidRDefault="007C0816" w:rsidP="00665924">
      <w:pPr>
        <w:pStyle w:val="Paragrafoelenco"/>
        <w:numPr>
          <w:ilvl w:val="0"/>
          <w:numId w:val="12"/>
        </w:numPr>
        <w:spacing w:line="360" w:lineRule="auto"/>
        <w:jc w:val="both"/>
        <w:rPr>
          <w:rFonts w:cs="Times New Roman"/>
          <w:sz w:val="24"/>
        </w:rPr>
      </w:pPr>
      <w:r w:rsidRPr="00665924">
        <w:rPr>
          <w:rFonts w:cs="Times New Roman"/>
          <w:sz w:val="24"/>
        </w:rPr>
        <w:t xml:space="preserve">Un accordo simile a quello tra Turchia ed Europa: si escluderebbero barriere interne e la Gran Bretagna adotterebbe la maggior parte delle regolamentazioni europee ma non in tutti i settori. Non potrebbe influenzare le scelte europee ma sarebbe libera dalla partecipazione al budget europeo e potrebbe imporre limiti all’immigrazione. Per quanto si avvicini di più allo spirito della </w:t>
      </w:r>
      <w:r w:rsidR="00B406A5">
        <w:rPr>
          <w:rFonts w:cs="Times New Roman"/>
          <w:sz w:val="24"/>
        </w:rPr>
        <w:t>Brexit</w:t>
      </w:r>
      <w:r w:rsidRPr="00665924">
        <w:rPr>
          <w:rFonts w:cs="Times New Roman"/>
          <w:sz w:val="24"/>
        </w:rPr>
        <w:t>, la scelta rimarrebbe comunque troppo vessatoria per l’Inghilterra;</w:t>
      </w:r>
    </w:p>
    <w:p w:rsidR="007C0816" w:rsidRPr="00665924" w:rsidRDefault="007C0816" w:rsidP="00665924">
      <w:pPr>
        <w:pStyle w:val="Paragrafoelenco"/>
        <w:numPr>
          <w:ilvl w:val="0"/>
          <w:numId w:val="12"/>
        </w:numPr>
        <w:spacing w:line="360" w:lineRule="auto"/>
        <w:jc w:val="both"/>
        <w:rPr>
          <w:rFonts w:cs="Times New Roman"/>
          <w:sz w:val="24"/>
        </w:rPr>
      </w:pPr>
      <w:r w:rsidRPr="00665924">
        <w:rPr>
          <w:rFonts w:cs="Times New Roman"/>
          <w:sz w:val="24"/>
        </w:rPr>
        <w:t>Regolazione tramite accordi commerciali ad hoc per la creazione di un’area di mercato unico: non ci sarebbero barriere commerciali ma le regole sarebbero stabilite dall’accordo originario dell’area. La Gran Bretagna manterrebbe la sua indipendenza verso terzi e potrebbe limitare immigrazione ed escludere i contributi verso l’Unione. È una via possibile che garantirebbe uno spazio di manovra sufficiente per entrambe le potenze per quanto il creare un accordo equilibrato sia un lavoro delicato;</w:t>
      </w:r>
    </w:p>
    <w:p w:rsidR="007C0816" w:rsidRPr="00665924" w:rsidRDefault="007C0816" w:rsidP="00665924">
      <w:pPr>
        <w:pStyle w:val="Paragrafoelenco"/>
        <w:numPr>
          <w:ilvl w:val="0"/>
          <w:numId w:val="12"/>
        </w:numPr>
        <w:spacing w:line="360" w:lineRule="auto"/>
        <w:jc w:val="both"/>
        <w:rPr>
          <w:rFonts w:cs="Times New Roman"/>
          <w:sz w:val="24"/>
        </w:rPr>
      </w:pPr>
      <w:r w:rsidRPr="00665924">
        <w:rPr>
          <w:rFonts w:cs="Times New Roman"/>
          <w:sz w:val="24"/>
        </w:rPr>
        <w:t xml:space="preserve">Accordi bilaterali simili a quelli tra Svizzera ed Europa: </w:t>
      </w:r>
      <w:r w:rsidR="00D81296" w:rsidRPr="00665924">
        <w:rPr>
          <w:rFonts w:cs="Times New Roman"/>
          <w:sz w:val="24"/>
        </w:rPr>
        <w:t xml:space="preserve">Gran Bretagna ed Europa creerebbero degli accordi il cui scopo è regolamentare singoli settori economici. Una delle principali paure europee è la possibile scelta mirata da parte del governo inglese riguardo i settori e, di conseguenza, alle regole adottate. Limitando </w:t>
      </w:r>
      <w:r w:rsidR="00D81296" w:rsidRPr="00665924">
        <w:rPr>
          <w:rFonts w:cs="Times New Roman"/>
          <w:sz w:val="24"/>
        </w:rPr>
        <w:lastRenderedPageBreak/>
        <w:t>immigrazione e non contribuendo al bilancio europeo, questa sarebbe la scelta più vantaggiosa per l’Inghilterra ma la più sconveniente per l’</w:t>
      </w:r>
      <w:r w:rsidR="0065410F" w:rsidRPr="00665924">
        <w:rPr>
          <w:rFonts w:cs="Times New Roman"/>
          <w:sz w:val="24"/>
        </w:rPr>
        <w:t>Unione;</w:t>
      </w:r>
    </w:p>
    <w:p w:rsidR="00D81296" w:rsidRPr="00665924" w:rsidRDefault="00281973" w:rsidP="00665924">
      <w:pPr>
        <w:pStyle w:val="Paragrafoelenco"/>
        <w:numPr>
          <w:ilvl w:val="0"/>
          <w:numId w:val="12"/>
        </w:numPr>
        <w:spacing w:line="360" w:lineRule="auto"/>
        <w:jc w:val="both"/>
        <w:rPr>
          <w:rFonts w:cs="Times New Roman"/>
          <w:sz w:val="24"/>
        </w:rPr>
      </w:pPr>
      <w:r w:rsidRPr="00281973">
        <w:rPr>
          <w:rFonts w:cs="Times New Roman"/>
          <w:noProof/>
          <w:lang w:eastAsia="it-IT"/>
        </w:rPr>
        <mc:AlternateContent>
          <mc:Choice Requires="wps">
            <w:drawing>
              <wp:anchor distT="45720" distB="45720" distL="114300" distR="114300" simplePos="0" relativeHeight="251697152" behindDoc="0" locked="0" layoutInCell="1" allowOverlap="1">
                <wp:simplePos x="0" y="0"/>
                <wp:positionH relativeFrom="margin">
                  <wp:align>right</wp:align>
                </wp:positionH>
                <wp:positionV relativeFrom="paragraph">
                  <wp:posOffset>1594485</wp:posOffset>
                </wp:positionV>
                <wp:extent cx="5756275" cy="5961380"/>
                <wp:effectExtent l="0" t="0" r="15875" b="20320"/>
                <wp:wrapSquare wrapText="bothSides"/>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5961380"/>
                        </a:xfrm>
                        <a:prstGeom prst="rect">
                          <a:avLst/>
                        </a:prstGeom>
                        <a:solidFill>
                          <a:srgbClr val="FFFFFF"/>
                        </a:solidFill>
                        <a:ln w="9525">
                          <a:solidFill>
                            <a:schemeClr val="bg1"/>
                          </a:solidFill>
                          <a:miter lim="800000"/>
                          <a:headEnd/>
                          <a:tailEnd/>
                        </a:ln>
                      </wps:spPr>
                      <wps:txbx>
                        <w:txbxContent>
                          <w:tbl>
                            <w:tblPr>
                              <w:tblStyle w:val="Grigliatabella"/>
                              <w:tblW w:w="8675" w:type="dxa"/>
                              <w:tblLook w:val="04A0" w:firstRow="1" w:lastRow="0" w:firstColumn="1" w:lastColumn="0" w:noHBand="0" w:noVBand="1"/>
                            </w:tblPr>
                            <w:tblGrid>
                              <w:gridCol w:w="3855"/>
                              <w:gridCol w:w="964"/>
                              <w:gridCol w:w="964"/>
                              <w:gridCol w:w="964"/>
                              <w:gridCol w:w="964"/>
                              <w:gridCol w:w="964"/>
                            </w:tblGrid>
                            <w:tr w:rsidR="00B63BAD" w:rsidRPr="00281973" w:rsidTr="00281973">
                              <w:trPr>
                                <w:cantSplit/>
                                <w:trHeight w:val="1134"/>
                              </w:trPr>
                              <w:tc>
                                <w:tcPr>
                                  <w:tcW w:w="3855" w:type="dxa"/>
                                  <w:textDirection w:val="tbRl"/>
                                </w:tcPr>
                                <w:p w:rsidR="00B63BAD" w:rsidRPr="00281973" w:rsidRDefault="00B63BAD" w:rsidP="00281973">
                                  <w:pPr>
                                    <w:spacing w:line="360" w:lineRule="auto"/>
                                    <w:ind w:left="113" w:right="113"/>
                                    <w:rPr>
                                      <w:rFonts w:cs="Times New Roman"/>
                                      <w:sz w:val="20"/>
                                    </w:rPr>
                                  </w:pPr>
                                </w:p>
                              </w:tc>
                              <w:tc>
                                <w:tcPr>
                                  <w:tcW w:w="964" w:type="dxa"/>
                                  <w:textDirection w:val="tbRl"/>
                                </w:tcPr>
                                <w:p w:rsidR="00B63BAD" w:rsidRPr="00281973" w:rsidRDefault="00B63BAD" w:rsidP="00281973">
                                  <w:pPr>
                                    <w:spacing w:line="360" w:lineRule="auto"/>
                                    <w:ind w:left="113" w:right="113"/>
                                    <w:rPr>
                                      <w:rFonts w:cs="Times New Roman"/>
                                      <w:sz w:val="20"/>
                                    </w:rPr>
                                  </w:pPr>
                                  <w:r w:rsidRPr="00281973">
                                    <w:rPr>
                                      <w:rFonts w:cs="Times New Roman"/>
                                      <w:sz w:val="20"/>
                                    </w:rPr>
                                    <w:t>UE-Norvegia</w:t>
                                  </w:r>
                                </w:p>
                              </w:tc>
                              <w:tc>
                                <w:tcPr>
                                  <w:tcW w:w="964" w:type="dxa"/>
                                  <w:textDirection w:val="tbRl"/>
                                </w:tcPr>
                                <w:p w:rsidR="00B63BAD" w:rsidRPr="00281973" w:rsidRDefault="00B63BAD" w:rsidP="00281973">
                                  <w:pPr>
                                    <w:spacing w:line="360" w:lineRule="auto"/>
                                    <w:ind w:left="113" w:right="113"/>
                                    <w:rPr>
                                      <w:rFonts w:cs="Times New Roman"/>
                                      <w:sz w:val="20"/>
                                    </w:rPr>
                                  </w:pPr>
                                  <w:r w:rsidRPr="00281973">
                                    <w:rPr>
                                      <w:rFonts w:cs="Times New Roman"/>
                                      <w:sz w:val="20"/>
                                    </w:rPr>
                                    <w:t>UE-Turchia</w:t>
                                  </w:r>
                                </w:p>
                              </w:tc>
                              <w:tc>
                                <w:tcPr>
                                  <w:tcW w:w="964" w:type="dxa"/>
                                  <w:textDirection w:val="tbRl"/>
                                </w:tcPr>
                                <w:p w:rsidR="00B63BAD" w:rsidRPr="00281973" w:rsidRDefault="00B63BAD" w:rsidP="00281973">
                                  <w:pPr>
                                    <w:spacing w:line="360" w:lineRule="auto"/>
                                    <w:ind w:left="113" w:right="113"/>
                                    <w:rPr>
                                      <w:rFonts w:cs="Times New Roman"/>
                                      <w:sz w:val="20"/>
                                    </w:rPr>
                                  </w:pPr>
                                  <w:r w:rsidRPr="00281973">
                                    <w:rPr>
                                      <w:rFonts w:cs="Times New Roman"/>
                                      <w:sz w:val="20"/>
                                    </w:rPr>
                                    <w:t>Accordi ad hoc</w:t>
                                  </w:r>
                                </w:p>
                              </w:tc>
                              <w:tc>
                                <w:tcPr>
                                  <w:tcW w:w="964" w:type="dxa"/>
                                  <w:textDirection w:val="tbRl"/>
                                </w:tcPr>
                                <w:p w:rsidR="00B63BAD" w:rsidRPr="00281973" w:rsidRDefault="00B63BAD" w:rsidP="00281973">
                                  <w:pPr>
                                    <w:spacing w:line="360" w:lineRule="auto"/>
                                    <w:ind w:left="113" w:right="113"/>
                                    <w:rPr>
                                      <w:rFonts w:cs="Times New Roman"/>
                                      <w:sz w:val="20"/>
                                    </w:rPr>
                                  </w:pPr>
                                  <w:r w:rsidRPr="00281973">
                                    <w:rPr>
                                      <w:rFonts w:cs="Times New Roman"/>
                                      <w:sz w:val="20"/>
                                    </w:rPr>
                                    <w:t>UE-Svizzera</w:t>
                                  </w:r>
                                </w:p>
                              </w:tc>
                              <w:tc>
                                <w:tcPr>
                                  <w:tcW w:w="964" w:type="dxa"/>
                                  <w:textDirection w:val="tbRl"/>
                                </w:tcPr>
                                <w:p w:rsidR="00B63BAD" w:rsidRPr="00281973" w:rsidRDefault="00B63BAD" w:rsidP="00281973">
                                  <w:pPr>
                                    <w:spacing w:line="360" w:lineRule="auto"/>
                                    <w:ind w:left="113" w:right="113"/>
                                    <w:rPr>
                                      <w:rFonts w:cs="Times New Roman"/>
                                      <w:sz w:val="20"/>
                                    </w:rPr>
                                  </w:pPr>
                                  <w:r w:rsidRPr="00281973">
                                    <w:rPr>
                                      <w:rFonts w:cs="Times New Roman"/>
                                      <w:sz w:val="20"/>
                                    </w:rPr>
                                    <w:t>Nazione favorita</w:t>
                                  </w: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proofErr w:type="spellStart"/>
                                  <w:r w:rsidRPr="00281973">
                                    <w:rPr>
                                      <w:rFonts w:cs="Times New Roman"/>
                                      <w:sz w:val="20"/>
                                    </w:rPr>
                                    <w:t>Pressochè</w:t>
                                  </w:r>
                                  <w:proofErr w:type="spellEnd"/>
                                  <w:r w:rsidRPr="00281973">
                                    <w:rPr>
                                      <w:rFonts w:cs="Times New Roman"/>
                                      <w:sz w:val="20"/>
                                    </w:rPr>
                                    <w:t xml:space="preserve"> assenza di barriere commerciali</w:t>
                                  </w: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Accordi dinamici</w:t>
                                  </w: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Regolamentazione europea</w:t>
                                  </w: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Singolo gruppo di regolamentazioni</w:t>
                                  </w: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Accesso al mercato unico</w:t>
                                  </w: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Possibilità delle banche inglesi di uscire dalla GB</w:t>
                                  </w: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Influenza sulla regolamentazione europea</w:t>
                                  </w:r>
                                </w:p>
                              </w:tc>
                              <w:tc>
                                <w:tcPr>
                                  <w:tcW w:w="964" w:type="dxa"/>
                                  <w:shd w:val="clear" w:color="auto" w:fill="A6A6A6" w:themeFill="background1" w:themeFillShade="A6"/>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Possibilità di adottare un proprio approccio alla regolamentazione</w:t>
                                  </w: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A6A6A6" w:themeFill="background1" w:themeFillShade="A6"/>
                                </w:tcPr>
                                <w:p w:rsidR="00B63BAD" w:rsidRPr="00281973" w:rsidRDefault="00B63BAD" w:rsidP="00281973">
                                  <w:pPr>
                                    <w:spacing w:line="360" w:lineRule="auto"/>
                                    <w:rPr>
                                      <w:rFonts w:cs="Times New Roman"/>
                                      <w:sz w:val="20"/>
                                    </w:rPr>
                                  </w:pPr>
                                </w:p>
                              </w:tc>
                              <w:tc>
                                <w:tcPr>
                                  <w:tcW w:w="964" w:type="dxa"/>
                                  <w:shd w:val="clear" w:color="auto" w:fill="A6A6A6" w:themeFill="background1" w:themeFillShade="A6"/>
                                </w:tcPr>
                                <w:p w:rsidR="00B63BAD" w:rsidRPr="00281973" w:rsidRDefault="00B63BAD" w:rsidP="00281973">
                                  <w:pPr>
                                    <w:spacing w:line="360" w:lineRule="auto"/>
                                    <w:rPr>
                                      <w:rFonts w:cs="Times New Roman"/>
                                      <w:sz w:val="20"/>
                                    </w:rPr>
                                  </w:pPr>
                                </w:p>
                              </w:tc>
                              <w:tc>
                                <w:tcPr>
                                  <w:tcW w:w="964" w:type="dxa"/>
                                  <w:shd w:val="clear" w:color="auto" w:fill="A6A6A6" w:themeFill="background1" w:themeFillShade="A6"/>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Possibilità di stipulare accordi commerciali indipendenti</w:t>
                                  </w: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Nessun contributo al budget europeo</w:t>
                                  </w: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Possibilità di limitare i flussi migratori</w:t>
                                  </w: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6A6A6" w:themeFill="background1" w:themeFillShade="A6"/>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r>
                          </w:tbl>
                          <w:p w:rsidR="00B63BAD" w:rsidRPr="00281973" w:rsidRDefault="00B63BAD" w:rsidP="00281973">
                            <w:pPr>
                              <w:rPr>
                                <w:i/>
                                <w:sz w:val="20"/>
                              </w:rPr>
                            </w:pPr>
                            <w:proofErr w:type="spellStart"/>
                            <w:r w:rsidRPr="00281973">
                              <w:rPr>
                                <w:b/>
                                <w:sz w:val="20"/>
                              </w:rPr>
                              <w:t>Tab</w:t>
                            </w:r>
                            <w:proofErr w:type="spellEnd"/>
                            <w:r w:rsidRPr="00281973">
                              <w:rPr>
                                <w:b/>
                                <w:sz w:val="20"/>
                              </w:rPr>
                              <w:t xml:space="preserve"> 2.1.1</w:t>
                            </w:r>
                            <w:r w:rsidRPr="00281973">
                              <w:rPr>
                                <w:sz w:val="20"/>
                              </w:rPr>
                              <w:t xml:space="preserve"> </w:t>
                            </w:r>
                            <w:r>
                              <w:rPr>
                                <w:sz w:val="20"/>
                              </w:rPr>
                              <w:t xml:space="preserve">- </w:t>
                            </w:r>
                            <w:r w:rsidRPr="00281973">
                              <w:rPr>
                                <w:i/>
                                <w:sz w:val="20"/>
                              </w:rPr>
                              <w:t>Possibili scenari</w:t>
                            </w:r>
                            <w:r>
                              <w:rPr>
                                <w:i/>
                                <w:sz w:val="20"/>
                              </w:rPr>
                              <w:t xml:space="preserve">. </w:t>
                            </w:r>
                            <w:r w:rsidRPr="00281973">
                              <w:rPr>
                                <w:i/>
                                <w:sz w:val="20"/>
                              </w:rPr>
                              <w:t xml:space="preserve">Fonte: HM </w:t>
                            </w:r>
                            <w:proofErr w:type="spellStart"/>
                            <w:r w:rsidRPr="00281973">
                              <w:rPr>
                                <w:i/>
                                <w:sz w:val="20"/>
                              </w:rPr>
                              <w:t>Revenue</w:t>
                            </w:r>
                            <w:proofErr w:type="spellEnd"/>
                            <w:r w:rsidRPr="00281973">
                              <w:rPr>
                                <w:i/>
                                <w:sz w:val="20"/>
                              </w:rPr>
                              <w:t xml:space="preserve"> &amp; </w:t>
                            </w:r>
                            <w:proofErr w:type="spellStart"/>
                            <w:r w:rsidRPr="00281973">
                              <w:rPr>
                                <w:i/>
                                <w:sz w:val="20"/>
                              </w:rPr>
                              <w:t>Customs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02.05pt;margin-top:125.55pt;width:453.25pt;height:469.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" strokecolor="white [3212]">
                <v:textbox>
                  <w:txbxContent>
                    <w:tbl>
                      <w:tblPr>
                        <w:tblStyle w:val="Grigliatabella"/>
                        <w:tblW w:w="8675" w:type="dxa"/>
                        <w:tblLook w:val="04A0" w:firstRow="1" w:lastRow="0" w:firstColumn="1" w:lastColumn="0" w:noHBand="0" w:noVBand="1"/>
                      </w:tblPr>
                      <w:tblGrid>
                        <w:gridCol w:w="3855"/>
                        <w:gridCol w:w="964"/>
                        <w:gridCol w:w="964"/>
                        <w:gridCol w:w="964"/>
                        <w:gridCol w:w="964"/>
                        <w:gridCol w:w="964"/>
                      </w:tblGrid>
                      <w:tr w:rsidR="00B63BAD" w:rsidRPr="00281973" w:rsidTr="00281973">
                        <w:trPr>
                          <w:cantSplit/>
                          <w:trHeight w:val="1134"/>
                        </w:trPr>
                        <w:tc>
                          <w:tcPr>
                            <w:tcW w:w="3855" w:type="dxa"/>
                            <w:textDirection w:val="tbRl"/>
                          </w:tcPr>
                          <w:p w:rsidR="00B63BAD" w:rsidRPr="00281973" w:rsidRDefault="00B63BAD" w:rsidP="00281973">
                            <w:pPr>
                              <w:spacing w:line="360" w:lineRule="auto"/>
                              <w:ind w:left="113" w:right="113"/>
                              <w:rPr>
                                <w:rFonts w:cs="Times New Roman"/>
                                <w:sz w:val="20"/>
                              </w:rPr>
                            </w:pPr>
                          </w:p>
                        </w:tc>
                        <w:tc>
                          <w:tcPr>
                            <w:tcW w:w="964" w:type="dxa"/>
                            <w:textDirection w:val="tbRl"/>
                          </w:tcPr>
                          <w:p w:rsidR="00B63BAD" w:rsidRPr="00281973" w:rsidRDefault="00B63BAD" w:rsidP="00281973">
                            <w:pPr>
                              <w:spacing w:line="360" w:lineRule="auto"/>
                              <w:ind w:left="113" w:right="113"/>
                              <w:rPr>
                                <w:rFonts w:cs="Times New Roman"/>
                                <w:sz w:val="20"/>
                              </w:rPr>
                            </w:pPr>
                            <w:r w:rsidRPr="00281973">
                              <w:rPr>
                                <w:rFonts w:cs="Times New Roman"/>
                                <w:sz w:val="20"/>
                              </w:rPr>
                              <w:t>UE-Norvegia</w:t>
                            </w:r>
                          </w:p>
                        </w:tc>
                        <w:tc>
                          <w:tcPr>
                            <w:tcW w:w="964" w:type="dxa"/>
                            <w:textDirection w:val="tbRl"/>
                          </w:tcPr>
                          <w:p w:rsidR="00B63BAD" w:rsidRPr="00281973" w:rsidRDefault="00B63BAD" w:rsidP="00281973">
                            <w:pPr>
                              <w:spacing w:line="360" w:lineRule="auto"/>
                              <w:ind w:left="113" w:right="113"/>
                              <w:rPr>
                                <w:rFonts w:cs="Times New Roman"/>
                                <w:sz w:val="20"/>
                              </w:rPr>
                            </w:pPr>
                            <w:r w:rsidRPr="00281973">
                              <w:rPr>
                                <w:rFonts w:cs="Times New Roman"/>
                                <w:sz w:val="20"/>
                              </w:rPr>
                              <w:t>UE-Turchia</w:t>
                            </w:r>
                          </w:p>
                        </w:tc>
                        <w:tc>
                          <w:tcPr>
                            <w:tcW w:w="964" w:type="dxa"/>
                            <w:textDirection w:val="tbRl"/>
                          </w:tcPr>
                          <w:p w:rsidR="00B63BAD" w:rsidRPr="00281973" w:rsidRDefault="00B63BAD" w:rsidP="00281973">
                            <w:pPr>
                              <w:spacing w:line="360" w:lineRule="auto"/>
                              <w:ind w:left="113" w:right="113"/>
                              <w:rPr>
                                <w:rFonts w:cs="Times New Roman"/>
                                <w:sz w:val="20"/>
                              </w:rPr>
                            </w:pPr>
                            <w:r w:rsidRPr="00281973">
                              <w:rPr>
                                <w:rFonts w:cs="Times New Roman"/>
                                <w:sz w:val="20"/>
                              </w:rPr>
                              <w:t>Accordi ad hoc</w:t>
                            </w:r>
                          </w:p>
                        </w:tc>
                        <w:tc>
                          <w:tcPr>
                            <w:tcW w:w="964" w:type="dxa"/>
                            <w:textDirection w:val="tbRl"/>
                          </w:tcPr>
                          <w:p w:rsidR="00B63BAD" w:rsidRPr="00281973" w:rsidRDefault="00B63BAD" w:rsidP="00281973">
                            <w:pPr>
                              <w:spacing w:line="360" w:lineRule="auto"/>
                              <w:ind w:left="113" w:right="113"/>
                              <w:rPr>
                                <w:rFonts w:cs="Times New Roman"/>
                                <w:sz w:val="20"/>
                              </w:rPr>
                            </w:pPr>
                            <w:r w:rsidRPr="00281973">
                              <w:rPr>
                                <w:rFonts w:cs="Times New Roman"/>
                                <w:sz w:val="20"/>
                              </w:rPr>
                              <w:t>UE-Svizzera</w:t>
                            </w:r>
                          </w:p>
                        </w:tc>
                        <w:tc>
                          <w:tcPr>
                            <w:tcW w:w="964" w:type="dxa"/>
                            <w:textDirection w:val="tbRl"/>
                          </w:tcPr>
                          <w:p w:rsidR="00B63BAD" w:rsidRPr="00281973" w:rsidRDefault="00B63BAD" w:rsidP="00281973">
                            <w:pPr>
                              <w:spacing w:line="360" w:lineRule="auto"/>
                              <w:ind w:left="113" w:right="113"/>
                              <w:rPr>
                                <w:rFonts w:cs="Times New Roman"/>
                                <w:sz w:val="20"/>
                              </w:rPr>
                            </w:pPr>
                            <w:r w:rsidRPr="00281973">
                              <w:rPr>
                                <w:rFonts w:cs="Times New Roman"/>
                                <w:sz w:val="20"/>
                              </w:rPr>
                              <w:t>Nazione favorita</w:t>
                            </w: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proofErr w:type="spellStart"/>
                            <w:r w:rsidRPr="00281973">
                              <w:rPr>
                                <w:rFonts w:cs="Times New Roman"/>
                                <w:sz w:val="20"/>
                              </w:rPr>
                              <w:t>Pressochè</w:t>
                            </w:r>
                            <w:proofErr w:type="spellEnd"/>
                            <w:r w:rsidRPr="00281973">
                              <w:rPr>
                                <w:rFonts w:cs="Times New Roman"/>
                                <w:sz w:val="20"/>
                              </w:rPr>
                              <w:t xml:space="preserve"> assenza di barriere commerciali</w:t>
                            </w: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Accordi dinamici</w:t>
                            </w: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Regolamentazione europea</w:t>
                            </w: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Singolo gruppo di regolamentazioni</w:t>
                            </w: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Accesso al mercato unico</w:t>
                            </w: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Possibilità delle banche inglesi di uscire dalla GB</w:t>
                            </w: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Influenza sulla regolamentazione europea</w:t>
                            </w:r>
                          </w:p>
                        </w:tc>
                        <w:tc>
                          <w:tcPr>
                            <w:tcW w:w="964" w:type="dxa"/>
                            <w:shd w:val="clear" w:color="auto" w:fill="A6A6A6" w:themeFill="background1" w:themeFillShade="A6"/>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Possibilità di adottare un proprio approccio alla regolamentazione</w:t>
                            </w: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A6A6A6" w:themeFill="background1" w:themeFillShade="A6"/>
                          </w:tcPr>
                          <w:p w:rsidR="00B63BAD" w:rsidRPr="00281973" w:rsidRDefault="00B63BAD" w:rsidP="00281973">
                            <w:pPr>
                              <w:spacing w:line="360" w:lineRule="auto"/>
                              <w:rPr>
                                <w:rFonts w:cs="Times New Roman"/>
                                <w:sz w:val="20"/>
                              </w:rPr>
                            </w:pPr>
                          </w:p>
                        </w:tc>
                        <w:tc>
                          <w:tcPr>
                            <w:tcW w:w="964" w:type="dxa"/>
                            <w:shd w:val="clear" w:color="auto" w:fill="A6A6A6" w:themeFill="background1" w:themeFillShade="A6"/>
                          </w:tcPr>
                          <w:p w:rsidR="00B63BAD" w:rsidRPr="00281973" w:rsidRDefault="00B63BAD" w:rsidP="00281973">
                            <w:pPr>
                              <w:spacing w:line="360" w:lineRule="auto"/>
                              <w:rPr>
                                <w:rFonts w:cs="Times New Roman"/>
                                <w:sz w:val="20"/>
                              </w:rPr>
                            </w:pPr>
                          </w:p>
                        </w:tc>
                        <w:tc>
                          <w:tcPr>
                            <w:tcW w:w="964" w:type="dxa"/>
                            <w:shd w:val="clear" w:color="auto" w:fill="A6A6A6" w:themeFill="background1" w:themeFillShade="A6"/>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Possibilità di stipulare accordi commerciali indipendenti</w:t>
                            </w: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Nessun contributo al budget europeo</w:t>
                            </w: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r>
                      <w:tr w:rsidR="00B63BAD" w:rsidRPr="00281973" w:rsidTr="00281973">
                        <w:trPr>
                          <w:trHeight w:val="680"/>
                        </w:trPr>
                        <w:tc>
                          <w:tcPr>
                            <w:tcW w:w="3855" w:type="dxa"/>
                          </w:tcPr>
                          <w:p w:rsidR="00B63BAD" w:rsidRPr="00281973" w:rsidRDefault="00B63BAD" w:rsidP="00281973">
                            <w:pPr>
                              <w:spacing w:line="360" w:lineRule="auto"/>
                              <w:rPr>
                                <w:rFonts w:cs="Times New Roman"/>
                                <w:sz w:val="20"/>
                              </w:rPr>
                            </w:pPr>
                            <w:r w:rsidRPr="00281973">
                              <w:rPr>
                                <w:rFonts w:cs="Times New Roman"/>
                                <w:sz w:val="20"/>
                              </w:rPr>
                              <w:t>Possibilità di limitare i flussi migratori</w:t>
                            </w:r>
                          </w:p>
                        </w:tc>
                        <w:tc>
                          <w:tcPr>
                            <w:tcW w:w="964" w:type="dxa"/>
                            <w:shd w:val="clear" w:color="auto" w:fill="F4B083" w:themeFill="accent2"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c>
                          <w:tcPr>
                            <w:tcW w:w="964" w:type="dxa"/>
                            <w:shd w:val="clear" w:color="auto" w:fill="A6A6A6" w:themeFill="background1" w:themeFillShade="A6"/>
                          </w:tcPr>
                          <w:p w:rsidR="00B63BAD" w:rsidRPr="00281973" w:rsidRDefault="00B63BAD" w:rsidP="00281973">
                            <w:pPr>
                              <w:spacing w:line="360" w:lineRule="auto"/>
                              <w:rPr>
                                <w:rFonts w:cs="Times New Roman"/>
                                <w:sz w:val="20"/>
                              </w:rPr>
                            </w:pPr>
                          </w:p>
                        </w:tc>
                        <w:tc>
                          <w:tcPr>
                            <w:tcW w:w="964" w:type="dxa"/>
                            <w:shd w:val="clear" w:color="auto" w:fill="A8D08D" w:themeFill="accent6" w:themeFillTint="99"/>
                          </w:tcPr>
                          <w:p w:rsidR="00B63BAD" w:rsidRPr="00281973" w:rsidRDefault="00B63BAD" w:rsidP="00281973">
                            <w:pPr>
                              <w:spacing w:line="360" w:lineRule="auto"/>
                              <w:rPr>
                                <w:rFonts w:cs="Times New Roman"/>
                                <w:sz w:val="20"/>
                              </w:rPr>
                            </w:pPr>
                          </w:p>
                        </w:tc>
                      </w:tr>
                    </w:tbl>
                    <w:p w:rsidR="00B63BAD" w:rsidRPr="00281973" w:rsidRDefault="00B63BAD" w:rsidP="00281973">
                      <w:pPr>
                        <w:rPr>
                          <w:i/>
                          <w:sz w:val="20"/>
                        </w:rPr>
                      </w:pPr>
                      <w:proofErr w:type="spellStart"/>
                      <w:r w:rsidRPr="00281973">
                        <w:rPr>
                          <w:b/>
                          <w:sz w:val="20"/>
                        </w:rPr>
                        <w:t>Tab</w:t>
                      </w:r>
                      <w:proofErr w:type="spellEnd"/>
                      <w:r w:rsidRPr="00281973">
                        <w:rPr>
                          <w:b/>
                          <w:sz w:val="20"/>
                        </w:rPr>
                        <w:t xml:space="preserve"> 2.1.1</w:t>
                      </w:r>
                      <w:r w:rsidRPr="00281973">
                        <w:rPr>
                          <w:sz w:val="20"/>
                        </w:rPr>
                        <w:t xml:space="preserve"> </w:t>
                      </w:r>
                      <w:r>
                        <w:rPr>
                          <w:sz w:val="20"/>
                        </w:rPr>
                        <w:t xml:space="preserve">- </w:t>
                      </w:r>
                      <w:r w:rsidRPr="00281973">
                        <w:rPr>
                          <w:i/>
                          <w:sz w:val="20"/>
                        </w:rPr>
                        <w:t>Possibili scenari</w:t>
                      </w:r>
                      <w:r>
                        <w:rPr>
                          <w:i/>
                          <w:sz w:val="20"/>
                        </w:rPr>
                        <w:t xml:space="preserve">. </w:t>
                      </w:r>
                      <w:r w:rsidRPr="00281973">
                        <w:rPr>
                          <w:i/>
                          <w:sz w:val="20"/>
                        </w:rPr>
                        <w:t xml:space="preserve">Fonte: HM </w:t>
                      </w:r>
                      <w:proofErr w:type="spellStart"/>
                      <w:r w:rsidRPr="00281973">
                        <w:rPr>
                          <w:i/>
                          <w:sz w:val="20"/>
                        </w:rPr>
                        <w:t>Revenue</w:t>
                      </w:r>
                      <w:proofErr w:type="spellEnd"/>
                      <w:r w:rsidRPr="00281973">
                        <w:rPr>
                          <w:i/>
                          <w:sz w:val="20"/>
                        </w:rPr>
                        <w:t xml:space="preserve"> &amp; </w:t>
                      </w:r>
                      <w:proofErr w:type="spellStart"/>
                      <w:r w:rsidRPr="00281973">
                        <w:rPr>
                          <w:i/>
                          <w:sz w:val="20"/>
                        </w:rPr>
                        <w:t>Customs</w:t>
                      </w:r>
                      <w:proofErr w:type="spellEnd"/>
                    </w:p>
                  </w:txbxContent>
                </v:textbox>
                <w10:wrap type="square" anchorx="margin"/>
              </v:shape>
            </w:pict>
          </mc:Fallback>
        </mc:AlternateContent>
      </w:r>
      <w:r w:rsidR="00D81296" w:rsidRPr="00665924">
        <w:rPr>
          <w:rFonts w:cs="Times New Roman"/>
          <w:sz w:val="24"/>
        </w:rPr>
        <w:t>Un approccio basato sulla clausola della nazione favorita</w:t>
      </w:r>
      <w:r w:rsidR="00D81296" w:rsidRPr="00665924">
        <w:rPr>
          <w:rStyle w:val="Rimandonotaapidipagina"/>
          <w:rFonts w:cs="Times New Roman"/>
          <w:sz w:val="24"/>
        </w:rPr>
        <w:footnoteReference w:id="7"/>
      </w:r>
      <w:r w:rsidR="00D81296" w:rsidRPr="00665924">
        <w:rPr>
          <w:rFonts w:cs="Times New Roman"/>
          <w:sz w:val="24"/>
        </w:rPr>
        <w:t>:</w:t>
      </w:r>
      <w:r w:rsidR="0065410F" w:rsidRPr="00665924">
        <w:rPr>
          <w:rFonts w:cs="Times New Roman"/>
          <w:sz w:val="24"/>
        </w:rPr>
        <w:t xml:space="preserve"> l’allontanamento completo dalle regolamentazioni europee avrebbe come contrappeso l’applicazione dei dazi doganali e, dunque, una minore attrattività per gli investimenti verso la Gran Bretagna. Per quanto possa sembrare la scelta più aderente allo spirito manifestato tramite il referendum, questa sarebbe la scelta più nociva per la Gran Bretagna.</w:t>
      </w:r>
    </w:p>
    <w:p w:rsidR="00F54B79" w:rsidRDefault="00F54B79" w:rsidP="00665924">
      <w:pPr>
        <w:pStyle w:val="Titolo2"/>
        <w:numPr>
          <w:ilvl w:val="1"/>
          <w:numId w:val="3"/>
        </w:numPr>
        <w:spacing w:line="360" w:lineRule="auto"/>
        <w:rPr>
          <w:rFonts w:cs="Times New Roman"/>
        </w:rPr>
      </w:pPr>
      <w:bookmarkStart w:id="13" w:name="_Toc475559359"/>
      <w:r w:rsidRPr="00665924">
        <w:rPr>
          <w:rFonts w:cs="Times New Roman"/>
        </w:rPr>
        <w:lastRenderedPageBreak/>
        <w:t>Una bilancia commerciale storicamente negativa</w:t>
      </w:r>
      <w:bookmarkEnd w:id="13"/>
    </w:p>
    <w:p w:rsidR="00B84145" w:rsidRPr="00B84145" w:rsidRDefault="00B84145" w:rsidP="00B84145"/>
    <w:p w:rsidR="008F5790" w:rsidRPr="00665924" w:rsidRDefault="004A4437" w:rsidP="00665924">
      <w:pPr>
        <w:spacing w:line="360" w:lineRule="auto"/>
        <w:ind w:firstLine="397"/>
        <w:jc w:val="both"/>
        <w:rPr>
          <w:rFonts w:cs="Times New Roman"/>
          <w:sz w:val="24"/>
        </w:rPr>
      </w:pPr>
      <w:r w:rsidRPr="00665924">
        <w:rPr>
          <w:rFonts w:cs="Times New Roman"/>
          <w:noProof/>
          <w:sz w:val="24"/>
          <w:lang w:eastAsia="it-IT"/>
        </w:rPr>
        <mc:AlternateContent>
          <mc:Choice Requires="wps">
            <w:drawing>
              <wp:anchor distT="45720" distB="45720" distL="114300" distR="114300" simplePos="0" relativeHeight="251670528" behindDoc="0" locked="0" layoutInCell="1" allowOverlap="1" wp14:anchorId="05978D2D" wp14:editId="220FA55B">
                <wp:simplePos x="0" y="0"/>
                <wp:positionH relativeFrom="margin">
                  <wp:align>right</wp:align>
                </wp:positionH>
                <wp:positionV relativeFrom="paragraph">
                  <wp:posOffset>284480</wp:posOffset>
                </wp:positionV>
                <wp:extent cx="2870200" cy="3857625"/>
                <wp:effectExtent l="0" t="0" r="25400" b="28575"/>
                <wp:wrapThrough wrapText="bothSides">
                  <wp:wrapPolygon edited="0">
                    <wp:start x="0" y="0"/>
                    <wp:lineTo x="0" y="21653"/>
                    <wp:lineTo x="21648" y="21653"/>
                    <wp:lineTo x="21648" y="0"/>
                    <wp:lineTo x="0" y="0"/>
                  </wp:wrapPolygon>
                </wp:wrapThrough>
                <wp:docPr id="7" name="Casella di tes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3857625"/>
                        </a:xfrm>
                        <a:prstGeom prst="rect">
                          <a:avLst/>
                        </a:prstGeom>
                        <a:solidFill>
                          <a:srgbClr val="FFFFFF"/>
                        </a:solidFill>
                        <a:ln w="9525">
                          <a:solidFill>
                            <a:schemeClr val="bg1"/>
                          </a:solidFill>
                          <a:miter lim="800000"/>
                          <a:headEnd/>
                          <a:tailEnd/>
                        </a:ln>
                      </wps:spPr>
                      <wps:txbx>
                        <w:txbxContent>
                          <w:p w:rsidR="00B63BAD" w:rsidRPr="00D92BC3" w:rsidRDefault="00B63BAD" w:rsidP="008F5790">
                            <w:pPr>
                              <w:rPr>
                                <w:sz w:val="20"/>
                                <w:szCs w:val="20"/>
                              </w:rPr>
                            </w:pPr>
                            <w:r w:rsidRPr="00D92BC3">
                              <w:rPr>
                                <w:rFonts w:cs="Times New Roman"/>
                                <w:noProof/>
                                <w:sz w:val="20"/>
                                <w:szCs w:val="20"/>
                                <w:lang w:eastAsia="it-IT"/>
                              </w:rPr>
                              <w:drawing>
                                <wp:inline distT="0" distB="0" distL="0" distR="0" wp14:anchorId="7BB1BBBB" wp14:editId="6C7BE878">
                                  <wp:extent cx="2604976" cy="3444240"/>
                                  <wp:effectExtent l="0" t="0" r="5080" b="3810"/>
                                  <wp:docPr id="27" name="Gra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63BAD" w:rsidRPr="00D92BC3" w:rsidRDefault="00B63BAD" w:rsidP="008F5790">
                            <w:pPr>
                              <w:rPr>
                                <w:sz w:val="20"/>
                                <w:szCs w:val="20"/>
                              </w:rPr>
                            </w:pPr>
                            <w:proofErr w:type="spellStart"/>
                            <w:r w:rsidRPr="00D92BC3">
                              <w:rPr>
                                <w:b/>
                                <w:sz w:val="20"/>
                                <w:szCs w:val="20"/>
                              </w:rPr>
                              <w:t>Fig</w:t>
                            </w:r>
                            <w:proofErr w:type="spellEnd"/>
                            <w:r w:rsidRPr="00D92BC3">
                              <w:rPr>
                                <w:b/>
                                <w:sz w:val="20"/>
                                <w:szCs w:val="20"/>
                              </w:rPr>
                              <w:t xml:space="preserve"> 2.2.2</w:t>
                            </w:r>
                            <w:r w:rsidRPr="00D92BC3">
                              <w:rPr>
                                <w:sz w:val="20"/>
                                <w:szCs w:val="20"/>
                              </w:rPr>
                              <w:t xml:space="preserve"> - </w:t>
                            </w:r>
                            <w:r w:rsidRPr="00D92BC3">
                              <w:rPr>
                                <w:i/>
                                <w:sz w:val="20"/>
                                <w:szCs w:val="20"/>
                              </w:rPr>
                              <w:t xml:space="preserve">Fonte: HM </w:t>
                            </w:r>
                            <w:proofErr w:type="spellStart"/>
                            <w:r w:rsidRPr="00D92BC3">
                              <w:rPr>
                                <w:i/>
                                <w:sz w:val="20"/>
                                <w:szCs w:val="20"/>
                              </w:rPr>
                              <w:t>Revenue</w:t>
                            </w:r>
                            <w:proofErr w:type="spellEnd"/>
                            <w:r w:rsidRPr="00D92BC3">
                              <w:rPr>
                                <w:i/>
                                <w:sz w:val="20"/>
                                <w:szCs w:val="20"/>
                              </w:rPr>
                              <w:t xml:space="preserve"> &amp; </w:t>
                            </w:r>
                            <w:proofErr w:type="spellStart"/>
                            <w:r w:rsidRPr="00D92BC3">
                              <w:rPr>
                                <w:i/>
                                <w:sz w:val="20"/>
                                <w:szCs w:val="20"/>
                              </w:rPr>
                              <w:t>Customs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78D2D" id="Casella di testo 7" o:spid="_x0000_s1031" type="#_x0000_t202" style="position:absolute;left:0;text-align:left;margin-left:174.8pt;margin-top:22.4pt;width:226pt;height:303.7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" strokecolor="white [3212]">
                <v:textbox>
                  <w:txbxContent>
                    <w:p w:rsidR="00B63BAD" w:rsidRPr="00D92BC3" w:rsidRDefault="00B63BAD" w:rsidP="008F5790">
                      <w:pPr>
                        <w:rPr>
                          <w:sz w:val="20"/>
                          <w:szCs w:val="20"/>
                        </w:rPr>
                      </w:pPr>
                      <w:r w:rsidRPr="00D92BC3">
                        <w:rPr>
                          <w:rFonts w:cs="Times New Roman"/>
                          <w:noProof/>
                          <w:sz w:val="20"/>
                          <w:szCs w:val="20"/>
                          <w:lang w:eastAsia="it-IT"/>
                        </w:rPr>
                        <w:drawing>
                          <wp:inline distT="0" distB="0" distL="0" distR="0" wp14:anchorId="7BB1BBBB" wp14:editId="6C7BE878">
                            <wp:extent cx="2604976" cy="3444240"/>
                            <wp:effectExtent l="0" t="0" r="5080" b="3810"/>
                            <wp:docPr id="27" name="Gra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63BAD" w:rsidRPr="00D92BC3" w:rsidRDefault="00B63BAD" w:rsidP="008F5790">
                      <w:pPr>
                        <w:rPr>
                          <w:sz w:val="20"/>
                          <w:szCs w:val="20"/>
                        </w:rPr>
                      </w:pPr>
                      <w:r w:rsidRPr="00D92BC3">
                        <w:rPr>
                          <w:b/>
                          <w:sz w:val="20"/>
                          <w:szCs w:val="20"/>
                        </w:rPr>
                        <w:t>Fig 2.2.2</w:t>
                      </w:r>
                      <w:r w:rsidRPr="00D92BC3">
                        <w:rPr>
                          <w:sz w:val="20"/>
                          <w:szCs w:val="20"/>
                        </w:rPr>
                        <w:t xml:space="preserve"> - </w:t>
                      </w:r>
                      <w:r w:rsidRPr="00D92BC3">
                        <w:rPr>
                          <w:i/>
                          <w:sz w:val="20"/>
                          <w:szCs w:val="20"/>
                        </w:rPr>
                        <w:t>Fonte: HM Revenue &amp; Customs</w:t>
                      </w:r>
                    </w:p>
                  </w:txbxContent>
                </v:textbox>
                <w10:wrap type="through" anchorx="margin"/>
              </v:shape>
            </w:pict>
          </mc:Fallback>
        </mc:AlternateContent>
      </w:r>
      <w:r w:rsidRPr="00665924">
        <w:rPr>
          <w:rFonts w:cs="Times New Roman"/>
          <w:noProof/>
          <w:sz w:val="24"/>
          <w:lang w:eastAsia="it-IT"/>
        </w:rPr>
        <mc:AlternateContent>
          <mc:Choice Requires="wps">
            <w:drawing>
              <wp:anchor distT="45720" distB="45720" distL="114300" distR="114300" simplePos="0" relativeHeight="251668480" behindDoc="0" locked="0" layoutInCell="1" allowOverlap="1">
                <wp:simplePos x="0" y="0"/>
                <wp:positionH relativeFrom="margin">
                  <wp:align>left</wp:align>
                </wp:positionH>
                <wp:positionV relativeFrom="paragraph">
                  <wp:posOffset>284480</wp:posOffset>
                </wp:positionV>
                <wp:extent cx="2945130" cy="3848100"/>
                <wp:effectExtent l="0" t="0" r="26670" b="19050"/>
                <wp:wrapThrough wrapText="bothSides">
                  <wp:wrapPolygon edited="0">
                    <wp:start x="0" y="0"/>
                    <wp:lineTo x="0" y="21600"/>
                    <wp:lineTo x="21656" y="21600"/>
                    <wp:lineTo x="21656" y="0"/>
                    <wp:lineTo x="0" y="0"/>
                  </wp:wrapPolygon>
                </wp:wrapThrough>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5130" cy="3848100"/>
                        </a:xfrm>
                        <a:prstGeom prst="rect">
                          <a:avLst/>
                        </a:prstGeom>
                        <a:solidFill>
                          <a:srgbClr val="FFFFFF"/>
                        </a:solidFill>
                        <a:ln w="9525">
                          <a:solidFill>
                            <a:schemeClr val="bg1"/>
                          </a:solidFill>
                          <a:miter lim="800000"/>
                          <a:headEnd/>
                          <a:tailEnd/>
                        </a:ln>
                      </wps:spPr>
                      <wps:txbx>
                        <w:txbxContent>
                          <w:p w:rsidR="00B63BAD" w:rsidRPr="00D92BC3" w:rsidRDefault="00B63BAD">
                            <w:pPr>
                              <w:rPr>
                                <w:sz w:val="20"/>
                                <w:szCs w:val="20"/>
                              </w:rPr>
                            </w:pPr>
                            <w:r w:rsidRPr="00D92BC3">
                              <w:rPr>
                                <w:rFonts w:cs="Times New Roman"/>
                                <w:noProof/>
                                <w:sz w:val="20"/>
                                <w:szCs w:val="20"/>
                                <w:lang w:eastAsia="it-IT"/>
                              </w:rPr>
                              <w:drawing>
                                <wp:inline distT="0" distB="0" distL="0" distR="0" wp14:anchorId="1B1E9910" wp14:editId="7FE2BD92">
                                  <wp:extent cx="2658140" cy="3444240"/>
                                  <wp:effectExtent l="0" t="0" r="8890" b="3810"/>
                                  <wp:docPr id="28" name="Gra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63BAD" w:rsidRPr="00D92BC3" w:rsidRDefault="00B63BAD">
                            <w:pPr>
                              <w:rPr>
                                <w:sz w:val="20"/>
                                <w:szCs w:val="20"/>
                              </w:rPr>
                            </w:pPr>
                            <w:proofErr w:type="spellStart"/>
                            <w:r w:rsidRPr="00D92BC3">
                              <w:rPr>
                                <w:b/>
                                <w:sz w:val="20"/>
                                <w:szCs w:val="20"/>
                              </w:rPr>
                              <w:t>Fig</w:t>
                            </w:r>
                            <w:proofErr w:type="spellEnd"/>
                            <w:r w:rsidRPr="00D92BC3">
                              <w:rPr>
                                <w:b/>
                                <w:sz w:val="20"/>
                                <w:szCs w:val="20"/>
                              </w:rPr>
                              <w:t xml:space="preserve"> 2.2.1</w:t>
                            </w:r>
                            <w:r w:rsidRPr="00D92BC3">
                              <w:rPr>
                                <w:sz w:val="20"/>
                                <w:szCs w:val="20"/>
                              </w:rPr>
                              <w:t xml:space="preserve"> - </w:t>
                            </w:r>
                            <w:r w:rsidRPr="00D92BC3">
                              <w:rPr>
                                <w:i/>
                                <w:sz w:val="20"/>
                                <w:szCs w:val="20"/>
                              </w:rPr>
                              <w:t xml:space="preserve">Fonte: HM </w:t>
                            </w:r>
                            <w:proofErr w:type="spellStart"/>
                            <w:r w:rsidRPr="00D92BC3">
                              <w:rPr>
                                <w:i/>
                                <w:sz w:val="20"/>
                                <w:szCs w:val="20"/>
                              </w:rPr>
                              <w:t>Revenue</w:t>
                            </w:r>
                            <w:proofErr w:type="spellEnd"/>
                            <w:r w:rsidRPr="00D92BC3">
                              <w:rPr>
                                <w:i/>
                                <w:sz w:val="20"/>
                                <w:szCs w:val="20"/>
                              </w:rPr>
                              <w:t xml:space="preserve"> &amp; </w:t>
                            </w:r>
                            <w:proofErr w:type="spellStart"/>
                            <w:r w:rsidRPr="00D92BC3">
                              <w:rPr>
                                <w:i/>
                                <w:sz w:val="20"/>
                                <w:szCs w:val="20"/>
                              </w:rPr>
                              <w:t>Customs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22.4pt;width:231.9pt;height:303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" strokecolor="white [3212]">
                <v:textbox>
                  <w:txbxContent>
                    <w:p w:rsidR="00B63BAD" w:rsidRPr="00D92BC3" w:rsidRDefault="00B63BAD">
                      <w:pPr>
                        <w:rPr>
                          <w:sz w:val="20"/>
                          <w:szCs w:val="20"/>
                        </w:rPr>
                      </w:pPr>
                      <w:r w:rsidRPr="00D92BC3">
                        <w:rPr>
                          <w:rFonts w:cs="Times New Roman"/>
                          <w:noProof/>
                          <w:sz w:val="20"/>
                          <w:szCs w:val="20"/>
                          <w:lang w:eastAsia="it-IT"/>
                        </w:rPr>
                        <w:drawing>
                          <wp:inline distT="0" distB="0" distL="0" distR="0" wp14:anchorId="1B1E9910" wp14:editId="7FE2BD92">
                            <wp:extent cx="2658140" cy="3444240"/>
                            <wp:effectExtent l="0" t="0" r="8890" b="3810"/>
                            <wp:docPr id="28" name="Gra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63BAD" w:rsidRPr="00D92BC3" w:rsidRDefault="00B63BAD">
                      <w:pPr>
                        <w:rPr>
                          <w:sz w:val="20"/>
                          <w:szCs w:val="20"/>
                        </w:rPr>
                      </w:pPr>
                      <w:r w:rsidRPr="00D92BC3">
                        <w:rPr>
                          <w:b/>
                          <w:sz w:val="20"/>
                          <w:szCs w:val="20"/>
                        </w:rPr>
                        <w:t>Fig 2.2.1</w:t>
                      </w:r>
                      <w:r w:rsidRPr="00D92BC3">
                        <w:rPr>
                          <w:sz w:val="20"/>
                          <w:szCs w:val="20"/>
                        </w:rPr>
                        <w:t xml:space="preserve"> - </w:t>
                      </w:r>
                      <w:r w:rsidRPr="00D92BC3">
                        <w:rPr>
                          <w:i/>
                          <w:sz w:val="20"/>
                          <w:szCs w:val="20"/>
                        </w:rPr>
                        <w:t>Fonte: HM Revenue &amp; Customs</w:t>
                      </w:r>
                    </w:p>
                  </w:txbxContent>
                </v:textbox>
                <w10:wrap type="through" anchorx="margin"/>
              </v:shape>
            </w:pict>
          </mc:Fallback>
        </mc:AlternateContent>
      </w:r>
      <w:r w:rsidR="001A0C77" w:rsidRPr="00665924">
        <w:rPr>
          <w:rFonts w:cs="Times New Roman"/>
          <w:sz w:val="24"/>
        </w:rPr>
        <w:t>Da anni ormai la Gran Bretagna ved</w:t>
      </w:r>
      <w:r w:rsidR="003A0B55" w:rsidRPr="00665924">
        <w:rPr>
          <w:rFonts w:cs="Times New Roman"/>
          <w:sz w:val="24"/>
        </w:rPr>
        <w:t>e la sua bi</w:t>
      </w:r>
      <w:r w:rsidR="001A4C5D" w:rsidRPr="00665924">
        <w:rPr>
          <w:rFonts w:cs="Times New Roman"/>
          <w:sz w:val="24"/>
        </w:rPr>
        <w:t xml:space="preserve">lancia commerciale in negativo. </w:t>
      </w:r>
      <w:r w:rsidR="001A4C5D" w:rsidRPr="00665924">
        <w:rPr>
          <w:rFonts w:cs="Times New Roman"/>
          <w:sz w:val="24"/>
        </w:rPr>
        <w:br/>
        <w:t>Prendendo come base d’analisi specifica l’import-export del 2016 aggiornato ad ottobre, possiamo analizzare superficialmente le cause di questi squilibri commerciali.</w:t>
      </w:r>
    </w:p>
    <w:p w:rsidR="001A4C5D" w:rsidRPr="00665924" w:rsidRDefault="001A4C5D" w:rsidP="00665924">
      <w:pPr>
        <w:spacing w:line="360" w:lineRule="auto"/>
        <w:ind w:firstLine="397"/>
        <w:jc w:val="both"/>
        <w:rPr>
          <w:rFonts w:cs="Times New Roman"/>
          <w:sz w:val="24"/>
        </w:rPr>
      </w:pPr>
      <w:r w:rsidRPr="00665924">
        <w:rPr>
          <w:rFonts w:cs="Times New Roman"/>
          <w:sz w:val="24"/>
        </w:rPr>
        <w:t xml:space="preserve">Il primo dato da prendere in considerazione sono i flussi totali messi a confronto: a fronte di un import di </w:t>
      </w:r>
      <w:r w:rsidR="000778AF" w:rsidRPr="00665924">
        <w:rPr>
          <w:rFonts w:cs="Times New Roman"/>
          <w:sz w:val="24"/>
        </w:rPr>
        <w:t>389.961.128</w:t>
      </w:r>
      <w:r w:rsidRPr="00665924">
        <w:rPr>
          <w:rFonts w:cs="Times New Roman"/>
          <w:sz w:val="24"/>
        </w:rPr>
        <w:t>.000 £</w:t>
      </w:r>
      <w:r w:rsidR="00D921DE" w:rsidRPr="00665924">
        <w:rPr>
          <w:rFonts w:cs="Times New Roman"/>
          <w:sz w:val="24"/>
        </w:rPr>
        <w:t xml:space="preserve"> (50% UE, 50% extra-UE)</w:t>
      </w:r>
      <w:r w:rsidRPr="00665924">
        <w:rPr>
          <w:rFonts w:cs="Times New Roman"/>
          <w:sz w:val="24"/>
        </w:rPr>
        <w:t xml:space="preserve"> ci troviamo davanti ad un ben più basso export, </w:t>
      </w:r>
      <w:r w:rsidR="000778AF" w:rsidRPr="00665924">
        <w:rPr>
          <w:rFonts w:cs="Times New Roman"/>
          <w:sz w:val="24"/>
        </w:rPr>
        <w:t xml:space="preserve">244.276.661.000 </w:t>
      </w:r>
      <w:r w:rsidRPr="00665924">
        <w:rPr>
          <w:rFonts w:cs="Times New Roman"/>
          <w:sz w:val="24"/>
        </w:rPr>
        <w:t>£</w:t>
      </w:r>
      <w:r w:rsidR="00D921DE" w:rsidRPr="00665924">
        <w:rPr>
          <w:rFonts w:cs="Times New Roman"/>
          <w:sz w:val="24"/>
        </w:rPr>
        <w:t xml:space="preserve"> (48% UE, 52% extra-UE)</w:t>
      </w:r>
      <w:r w:rsidRPr="00665924">
        <w:rPr>
          <w:rFonts w:cs="Times New Roman"/>
          <w:sz w:val="24"/>
        </w:rPr>
        <w:t xml:space="preserve">, un disavanzo per la bilancia commerciale del </w:t>
      </w:r>
      <w:r w:rsidR="000778AF" w:rsidRPr="00665924">
        <w:rPr>
          <w:rFonts w:cs="Times New Roman"/>
          <w:sz w:val="24"/>
        </w:rPr>
        <w:t>60</w:t>
      </w:r>
      <w:r w:rsidRPr="00665924">
        <w:rPr>
          <w:rFonts w:cs="Times New Roman"/>
          <w:sz w:val="24"/>
        </w:rPr>
        <w:t>%.</w:t>
      </w:r>
    </w:p>
    <w:p w:rsidR="00136670" w:rsidRPr="00665924" w:rsidRDefault="000778AF" w:rsidP="00665924">
      <w:pPr>
        <w:spacing w:line="360" w:lineRule="auto"/>
        <w:ind w:firstLine="397"/>
        <w:jc w:val="both"/>
        <w:rPr>
          <w:rFonts w:cs="Times New Roman"/>
          <w:sz w:val="24"/>
        </w:rPr>
      </w:pPr>
      <w:r w:rsidRPr="00665924">
        <w:rPr>
          <w:rFonts w:cs="Times New Roman"/>
          <w:sz w:val="24"/>
        </w:rPr>
        <w:t xml:space="preserve">Un secondo fattore molto interessante è l’identificazione delle dieci categorie merceologiche che occupano i primi posti nei rispettivi flussi: </w:t>
      </w:r>
    </w:p>
    <w:p w:rsidR="000778AF" w:rsidRPr="00665924" w:rsidRDefault="00136670" w:rsidP="00665924">
      <w:pPr>
        <w:pStyle w:val="Paragrafoelenco"/>
        <w:numPr>
          <w:ilvl w:val="0"/>
          <w:numId w:val="10"/>
        </w:numPr>
        <w:spacing w:line="360" w:lineRule="auto"/>
        <w:jc w:val="both"/>
        <w:rPr>
          <w:rFonts w:cs="Times New Roman"/>
          <w:sz w:val="24"/>
        </w:rPr>
      </w:pPr>
      <w:r w:rsidRPr="00665924">
        <w:rPr>
          <w:rFonts w:cs="Times New Roman"/>
          <w:sz w:val="24"/>
        </w:rPr>
        <w:t xml:space="preserve">L’import inglese è principalmente dominato da veicoli (comprensivi dei sistemi di trasporto pubblico e privato), metalli e pietre preziose e impianti nucleari (per un totale di 138.931.998.660 £ </w:t>
      </w:r>
      <w:proofErr w:type="spellStart"/>
      <w:r w:rsidRPr="00665924">
        <w:rPr>
          <w:rFonts w:cs="Times New Roman"/>
          <w:sz w:val="24"/>
        </w:rPr>
        <w:t>ca</w:t>
      </w:r>
      <w:proofErr w:type="spellEnd"/>
      <w:r w:rsidRPr="00665924">
        <w:rPr>
          <w:rFonts w:cs="Times New Roman"/>
          <w:sz w:val="24"/>
        </w:rPr>
        <w:t>.)</w:t>
      </w:r>
      <w:r w:rsidR="00E228DB" w:rsidRPr="00665924">
        <w:rPr>
          <w:rFonts w:cs="Times New Roman"/>
          <w:sz w:val="24"/>
        </w:rPr>
        <w:t>;</w:t>
      </w:r>
    </w:p>
    <w:p w:rsidR="00E228DB" w:rsidRPr="00665924" w:rsidRDefault="00E228DB" w:rsidP="00665924">
      <w:pPr>
        <w:pStyle w:val="Paragrafoelenco"/>
        <w:numPr>
          <w:ilvl w:val="0"/>
          <w:numId w:val="10"/>
        </w:numPr>
        <w:spacing w:line="360" w:lineRule="auto"/>
        <w:jc w:val="both"/>
        <w:rPr>
          <w:rFonts w:cs="Times New Roman"/>
          <w:sz w:val="24"/>
        </w:rPr>
      </w:pPr>
      <w:r w:rsidRPr="00665924">
        <w:rPr>
          <w:rFonts w:cs="Times New Roman"/>
          <w:sz w:val="24"/>
        </w:rPr>
        <w:lastRenderedPageBreak/>
        <w:t xml:space="preserve">L’export vede la una forte diminuzione dell’importanza dei preziosi, sostituiti alle prime posizioni dai combustibili fossili, accompagnati anche qua da veicoli e impianti nucleari (per un totale di 40.781.428.760 £ </w:t>
      </w:r>
      <w:proofErr w:type="spellStart"/>
      <w:r w:rsidRPr="00665924">
        <w:rPr>
          <w:rFonts w:cs="Times New Roman"/>
          <w:sz w:val="24"/>
        </w:rPr>
        <w:t>ca</w:t>
      </w:r>
      <w:proofErr w:type="spellEnd"/>
      <w:r w:rsidRPr="00665924">
        <w:rPr>
          <w:rFonts w:cs="Times New Roman"/>
          <w:sz w:val="24"/>
        </w:rPr>
        <w:t>.).</w:t>
      </w:r>
    </w:p>
    <w:p w:rsidR="008D150E" w:rsidRPr="00665924" w:rsidRDefault="008D150E" w:rsidP="00665924">
      <w:pPr>
        <w:spacing w:line="360" w:lineRule="auto"/>
        <w:rPr>
          <w:rFonts w:cs="Times New Roman"/>
          <w:b/>
        </w:rPr>
      </w:pPr>
    </w:p>
    <w:p w:rsidR="000A772B" w:rsidRPr="00665924" w:rsidRDefault="000A772B" w:rsidP="00665924">
      <w:pPr>
        <w:spacing w:line="360" w:lineRule="auto"/>
        <w:ind w:firstLine="397"/>
        <w:jc w:val="both"/>
        <w:rPr>
          <w:rFonts w:cs="Times New Roman"/>
          <w:sz w:val="24"/>
        </w:rPr>
      </w:pPr>
      <w:r w:rsidRPr="00665924">
        <w:rPr>
          <w:rFonts w:cs="Times New Roman"/>
          <w:sz w:val="24"/>
        </w:rPr>
        <w:t>Terzo elemento di interesse sono le destinazio</w:t>
      </w:r>
      <w:r w:rsidR="0016384E" w:rsidRPr="00665924">
        <w:rPr>
          <w:rFonts w:cs="Times New Roman"/>
          <w:sz w:val="24"/>
        </w:rPr>
        <w:t>ni principali di questi flussi:</w:t>
      </w:r>
    </w:p>
    <w:p w:rsidR="0017315A" w:rsidRDefault="0017315A" w:rsidP="00665924">
      <w:pPr>
        <w:pStyle w:val="Paragrafoelenco"/>
        <w:numPr>
          <w:ilvl w:val="0"/>
          <w:numId w:val="11"/>
        </w:numPr>
        <w:spacing w:line="360" w:lineRule="auto"/>
        <w:jc w:val="both"/>
        <w:rPr>
          <w:rFonts w:cs="Times New Roman"/>
          <w:sz w:val="24"/>
        </w:rPr>
      </w:pPr>
      <w:r w:rsidRPr="00665924">
        <w:rPr>
          <w:rFonts w:cs="Times New Roman"/>
          <w:b/>
          <w:noProof/>
          <w:lang w:eastAsia="it-IT"/>
        </w:rPr>
        <mc:AlternateContent>
          <mc:Choice Requires="wps">
            <w:drawing>
              <wp:anchor distT="45720" distB="45720" distL="114300" distR="114300" simplePos="0" relativeHeight="251712512" behindDoc="0" locked="0" layoutInCell="1" allowOverlap="1" wp14:anchorId="3E8DACAB" wp14:editId="5C25E2ED">
                <wp:simplePos x="0" y="0"/>
                <wp:positionH relativeFrom="margin">
                  <wp:align>right</wp:align>
                </wp:positionH>
                <wp:positionV relativeFrom="paragraph">
                  <wp:posOffset>2135505</wp:posOffset>
                </wp:positionV>
                <wp:extent cx="5755640" cy="4143375"/>
                <wp:effectExtent l="0" t="0" r="16510" b="2857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640" cy="4143375"/>
                        </a:xfrm>
                        <a:prstGeom prst="rect">
                          <a:avLst/>
                        </a:prstGeom>
                        <a:solidFill>
                          <a:srgbClr val="FFFFFF"/>
                        </a:solidFill>
                        <a:ln w="9525">
                          <a:solidFill>
                            <a:schemeClr val="bg1"/>
                          </a:solidFill>
                          <a:miter lim="800000"/>
                          <a:headEnd/>
                          <a:tailEnd/>
                        </a:ln>
                      </wps:spPr>
                      <wps:txbx>
                        <w:txbxContent>
                          <w:p w:rsidR="00B63BAD" w:rsidRPr="00D92BC3" w:rsidRDefault="00B63BAD" w:rsidP="0017315A">
                            <w:pPr>
                              <w:rPr>
                                <w:sz w:val="20"/>
                              </w:rPr>
                            </w:pPr>
                            <w:r w:rsidRPr="00D92BC3">
                              <w:rPr>
                                <w:b/>
                                <w:noProof/>
                                <w:sz w:val="20"/>
                                <w:lang w:eastAsia="it-IT"/>
                              </w:rPr>
                              <w:drawing>
                                <wp:inline distT="0" distB="0" distL="0" distR="0" wp14:anchorId="72AE9D09" wp14:editId="2FCB5F2D">
                                  <wp:extent cx="5759532" cy="3597910"/>
                                  <wp:effectExtent l="0" t="0" r="0" b="2540"/>
                                  <wp:docPr id="12" name="Grafico 12" descr="&#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63BAD" w:rsidRPr="00D92BC3" w:rsidRDefault="00B63BAD" w:rsidP="0017315A">
                            <w:pPr>
                              <w:rPr>
                                <w:sz w:val="18"/>
                                <w:lang w:val="en-US"/>
                              </w:rPr>
                            </w:pPr>
                            <w:proofErr w:type="spellStart"/>
                            <w:r w:rsidRPr="00D92BC3">
                              <w:rPr>
                                <w:sz w:val="18"/>
                                <w:lang w:val="en-US"/>
                              </w:rPr>
                              <w:t>Totale</w:t>
                            </w:r>
                            <w:proofErr w:type="spellEnd"/>
                            <w:r w:rsidRPr="00D92BC3">
                              <w:rPr>
                                <w:sz w:val="18"/>
                                <w:lang w:val="en-US"/>
                              </w:rPr>
                              <w:t>: 76.946.092.000 £</w:t>
                            </w:r>
                            <w:r w:rsidRPr="00D92BC3">
                              <w:rPr>
                                <w:sz w:val="18"/>
                                <w:lang w:val="en-US"/>
                              </w:rPr>
                              <w:br/>
                            </w:r>
                            <w:r w:rsidRPr="00D92BC3">
                              <w:rPr>
                                <w:b/>
                                <w:sz w:val="20"/>
                                <w:lang w:val="en-US"/>
                              </w:rPr>
                              <w:t>Fig 2.2.4</w:t>
                            </w:r>
                            <w:r w:rsidRPr="00D92BC3">
                              <w:rPr>
                                <w:sz w:val="20"/>
                                <w:lang w:val="en-US"/>
                              </w:rPr>
                              <w:t xml:space="preserve"> - </w:t>
                            </w:r>
                            <w:r w:rsidRPr="00D92BC3">
                              <w:rPr>
                                <w:i/>
                                <w:sz w:val="20"/>
                                <w:lang w:val="en-US"/>
                              </w:rPr>
                              <w:t>Fonte: HM Revenue &amp; Customs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DACAB" id="_x0000_s1033" type="#_x0000_t202" style="position:absolute;left:0;text-align:left;margin-left:402pt;margin-top:168.15pt;width:453.2pt;height:326.25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" strokecolor="white [3212]">
                <v:textbox>
                  <w:txbxContent>
                    <w:p w:rsidR="00B63BAD" w:rsidRPr="00D92BC3" w:rsidRDefault="00B63BAD" w:rsidP="0017315A">
                      <w:pPr>
                        <w:rPr>
                          <w:sz w:val="20"/>
                        </w:rPr>
                      </w:pPr>
                      <w:r w:rsidRPr="00D92BC3">
                        <w:rPr>
                          <w:b/>
                          <w:noProof/>
                          <w:sz w:val="20"/>
                          <w:lang w:eastAsia="it-IT"/>
                        </w:rPr>
                        <w:drawing>
                          <wp:inline distT="0" distB="0" distL="0" distR="0" wp14:anchorId="72AE9D09" wp14:editId="2FCB5F2D">
                            <wp:extent cx="5759532" cy="3597910"/>
                            <wp:effectExtent l="0" t="0" r="0" b="2540"/>
                            <wp:docPr id="12" name="Grafico 12" descr="&#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B63BAD" w:rsidRPr="00D92BC3" w:rsidRDefault="00B63BAD" w:rsidP="0017315A">
                      <w:pPr>
                        <w:rPr>
                          <w:sz w:val="18"/>
                          <w:lang w:val="en-US"/>
                        </w:rPr>
                      </w:pPr>
                      <w:r w:rsidRPr="00D92BC3">
                        <w:rPr>
                          <w:sz w:val="18"/>
                          <w:lang w:val="en-US"/>
                        </w:rPr>
                        <w:t>Totale: 76.946.092.000 £</w:t>
                      </w:r>
                      <w:r w:rsidRPr="00D92BC3">
                        <w:rPr>
                          <w:sz w:val="18"/>
                          <w:lang w:val="en-US"/>
                        </w:rPr>
                        <w:br/>
                      </w:r>
                      <w:r w:rsidRPr="00D92BC3">
                        <w:rPr>
                          <w:b/>
                          <w:sz w:val="20"/>
                          <w:lang w:val="en-US"/>
                        </w:rPr>
                        <w:t>Fig 2.2.4</w:t>
                      </w:r>
                      <w:r w:rsidRPr="00D92BC3">
                        <w:rPr>
                          <w:sz w:val="20"/>
                          <w:lang w:val="en-US"/>
                        </w:rPr>
                        <w:t xml:space="preserve"> - </w:t>
                      </w:r>
                      <w:r w:rsidRPr="00D92BC3">
                        <w:rPr>
                          <w:i/>
                          <w:sz w:val="20"/>
                          <w:lang w:val="en-US"/>
                        </w:rPr>
                        <w:t>Fonte: HM Revenue &amp; Customs</w:t>
                      </w:r>
                    </w:p>
                  </w:txbxContent>
                </v:textbox>
                <w10:wrap type="square" anchorx="margin"/>
              </v:shape>
            </w:pict>
          </mc:Fallback>
        </mc:AlternateContent>
      </w:r>
      <w:r w:rsidR="0016384E" w:rsidRPr="00665924">
        <w:rPr>
          <w:rFonts w:cs="Times New Roman"/>
          <w:sz w:val="24"/>
        </w:rPr>
        <w:t>Vediamo un export dominato dagli Stati Uniti con un distacco di 15.000 milioni di sterline dalla Germania, seconda importatrice. Il distacco dall’UE potrebbe influire marginalmente sulle rotte commerciali americane</w:t>
      </w:r>
      <w:r w:rsidR="007D21BC" w:rsidRPr="00665924">
        <w:rPr>
          <w:rFonts w:cs="Times New Roman"/>
          <w:sz w:val="24"/>
        </w:rPr>
        <w:t>,</w:t>
      </w:r>
      <w:r w:rsidR="0016384E" w:rsidRPr="00665924">
        <w:rPr>
          <w:rFonts w:cs="Times New Roman"/>
          <w:sz w:val="24"/>
        </w:rPr>
        <w:t xml:space="preserve"> </w:t>
      </w:r>
      <w:r w:rsidR="007D21BC" w:rsidRPr="00665924">
        <w:rPr>
          <w:rFonts w:cs="Times New Roman"/>
          <w:sz w:val="24"/>
        </w:rPr>
        <w:t xml:space="preserve">il cui import principale dall’Inghilterra sono macchine, prodotti chimici e farmaceutici e petrolio raffinato, </w:t>
      </w:r>
      <w:r w:rsidR="0016384E" w:rsidRPr="00665924">
        <w:rPr>
          <w:rFonts w:cs="Times New Roman"/>
          <w:sz w:val="24"/>
        </w:rPr>
        <w:t>ma il resto della classifica potrebbe subire un forte mutamento in base alla forma di concordato scelta tra le parti.</w:t>
      </w:r>
      <w:r w:rsidR="007D21BC" w:rsidRPr="00665924">
        <w:rPr>
          <w:rFonts w:cs="Times New Roman"/>
          <w:sz w:val="24"/>
        </w:rPr>
        <w:br/>
      </w:r>
      <w:r w:rsidR="0016384E" w:rsidRPr="00665924">
        <w:rPr>
          <w:rFonts w:cs="Times New Roman"/>
          <w:sz w:val="24"/>
        </w:rPr>
        <w:t>Al quarto posto vediamo la Cina, secondo mercato extra-UE di interesse per le esportazioni inglesi</w:t>
      </w:r>
      <w:r w:rsidR="007D21BC" w:rsidRPr="00665924">
        <w:rPr>
          <w:rFonts w:cs="Times New Roman"/>
          <w:sz w:val="24"/>
        </w:rPr>
        <w:t xml:space="preserve">. I cinesi vedono una forte attrattiva dal settore automobilistico </w:t>
      </w:r>
      <w:r w:rsidR="007D21BC" w:rsidRPr="00665924">
        <w:rPr>
          <w:rFonts w:cs="Times New Roman"/>
          <w:sz w:val="24"/>
        </w:rPr>
        <w:lastRenderedPageBreak/>
        <w:t xml:space="preserve">inglese e, fino al 2015, l’acquisto di oro inglese era una voce considerevole della </w:t>
      </w:r>
      <w:r w:rsidRPr="00665924">
        <w:rPr>
          <w:rFonts w:cs="Times New Roman"/>
          <w:b/>
          <w:noProof/>
          <w:lang w:eastAsia="it-IT"/>
        </w:rPr>
        <mc:AlternateContent>
          <mc:Choice Requires="wps">
            <w:drawing>
              <wp:anchor distT="45720" distB="45720" distL="114300" distR="114300" simplePos="0" relativeHeight="251711488" behindDoc="0" locked="0" layoutInCell="1" allowOverlap="1" wp14:anchorId="45B8143E" wp14:editId="41ED7639">
                <wp:simplePos x="0" y="0"/>
                <wp:positionH relativeFrom="margin">
                  <wp:align>left</wp:align>
                </wp:positionH>
                <wp:positionV relativeFrom="paragraph">
                  <wp:posOffset>554990</wp:posOffset>
                </wp:positionV>
                <wp:extent cx="5545455" cy="4203700"/>
                <wp:effectExtent l="0" t="0" r="17145" b="2540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5455" cy="4203700"/>
                        </a:xfrm>
                        <a:prstGeom prst="rect">
                          <a:avLst/>
                        </a:prstGeom>
                        <a:solidFill>
                          <a:srgbClr val="FFFFFF"/>
                        </a:solidFill>
                        <a:ln w="9525">
                          <a:solidFill>
                            <a:schemeClr val="bg1"/>
                          </a:solidFill>
                          <a:miter lim="800000"/>
                          <a:headEnd/>
                          <a:tailEnd/>
                        </a:ln>
                      </wps:spPr>
                      <wps:txbx>
                        <w:txbxContent>
                          <w:p w:rsidR="00B63BAD" w:rsidRPr="00D92BC3" w:rsidRDefault="00B63BAD" w:rsidP="0017315A">
                            <w:pPr>
                              <w:rPr>
                                <w:sz w:val="20"/>
                              </w:rPr>
                            </w:pPr>
                            <w:r w:rsidRPr="00D92BC3">
                              <w:rPr>
                                <w:b/>
                                <w:noProof/>
                                <w:sz w:val="20"/>
                                <w:lang w:eastAsia="it-IT"/>
                              </w:rPr>
                              <w:drawing>
                                <wp:inline distT="0" distB="0" distL="0" distR="0" wp14:anchorId="5ADEEF82" wp14:editId="3597460A">
                                  <wp:extent cx="5735782" cy="3526790"/>
                                  <wp:effectExtent l="0" t="0" r="0" b="0"/>
                                  <wp:docPr id="13" name="Gra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B63BAD" w:rsidRPr="00D92BC3" w:rsidRDefault="00B63BAD" w:rsidP="0017315A">
                            <w:pPr>
                              <w:rPr>
                                <w:sz w:val="18"/>
                                <w:lang w:val="en-US"/>
                              </w:rPr>
                            </w:pPr>
                            <w:proofErr w:type="spellStart"/>
                            <w:r w:rsidRPr="00D92BC3">
                              <w:rPr>
                                <w:sz w:val="18"/>
                                <w:lang w:val="en-US"/>
                              </w:rPr>
                              <w:t>Totale</w:t>
                            </w:r>
                            <w:proofErr w:type="spellEnd"/>
                            <w:r w:rsidRPr="00D92BC3">
                              <w:rPr>
                                <w:sz w:val="18"/>
                                <w:lang w:val="en-US"/>
                              </w:rPr>
                              <w:t>: 257.281.479.000 £</w:t>
                            </w:r>
                          </w:p>
                          <w:p w:rsidR="00B63BAD" w:rsidRPr="00D92BC3" w:rsidRDefault="00B63BAD" w:rsidP="0017315A">
                            <w:pPr>
                              <w:rPr>
                                <w:sz w:val="18"/>
                                <w:lang w:val="en-US"/>
                              </w:rPr>
                            </w:pPr>
                            <w:r w:rsidRPr="00D92BC3">
                              <w:rPr>
                                <w:b/>
                                <w:sz w:val="20"/>
                                <w:lang w:val="en-US"/>
                              </w:rPr>
                              <w:t>Fig 2.2.3</w:t>
                            </w:r>
                            <w:r w:rsidRPr="00D92BC3">
                              <w:rPr>
                                <w:sz w:val="20"/>
                                <w:lang w:val="en-US"/>
                              </w:rPr>
                              <w:t xml:space="preserve"> -</w:t>
                            </w:r>
                            <w:r w:rsidRPr="00D92BC3">
                              <w:rPr>
                                <w:sz w:val="18"/>
                                <w:lang w:val="en-US"/>
                              </w:rPr>
                              <w:t xml:space="preserve"> </w:t>
                            </w:r>
                            <w:r w:rsidRPr="00D92BC3">
                              <w:rPr>
                                <w:i/>
                                <w:sz w:val="20"/>
                                <w:lang w:val="en-US"/>
                              </w:rPr>
                              <w:t>Fonte: HM Revenue &amp; Customs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8143E" id="_x0000_s1034" type="#_x0000_t202" style="position:absolute;left:0;text-align:left;margin-left:0;margin-top:43.7pt;width:436.65pt;height:331pt;z-index:251711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" strokecolor="white [3212]">
                <v:textbox>
                  <w:txbxContent>
                    <w:p w:rsidR="00B63BAD" w:rsidRPr="00D92BC3" w:rsidRDefault="00B63BAD" w:rsidP="0017315A">
                      <w:pPr>
                        <w:rPr>
                          <w:sz w:val="20"/>
                        </w:rPr>
                      </w:pPr>
                      <w:r w:rsidRPr="00D92BC3">
                        <w:rPr>
                          <w:b/>
                          <w:noProof/>
                          <w:sz w:val="20"/>
                          <w:lang w:eastAsia="it-IT"/>
                        </w:rPr>
                        <w:drawing>
                          <wp:inline distT="0" distB="0" distL="0" distR="0" wp14:anchorId="5ADEEF82" wp14:editId="3597460A">
                            <wp:extent cx="5735782" cy="3526790"/>
                            <wp:effectExtent l="0" t="0" r="0" b="0"/>
                            <wp:docPr id="13" name="Gra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63BAD" w:rsidRPr="00D92BC3" w:rsidRDefault="00B63BAD" w:rsidP="0017315A">
                      <w:pPr>
                        <w:rPr>
                          <w:sz w:val="18"/>
                          <w:lang w:val="en-US"/>
                        </w:rPr>
                      </w:pPr>
                      <w:r w:rsidRPr="00D92BC3">
                        <w:rPr>
                          <w:sz w:val="18"/>
                          <w:lang w:val="en-US"/>
                        </w:rPr>
                        <w:t>Totale: 257.281.479.000 £</w:t>
                      </w:r>
                    </w:p>
                    <w:p w:rsidR="00B63BAD" w:rsidRPr="00D92BC3" w:rsidRDefault="00B63BAD" w:rsidP="0017315A">
                      <w:pPr>
                        <w:rPr>
                          <w:sz w:val="18"/>
                          <w:lang w:val="en-US"/>
                        </w:rPr>
                      </w:pPr>
                      <w:r w:rsidRPr="00D92BC3">
                        <w:rPr>
                          <w:b/>
                          <w:sz w:val="20"/>
                          <w:lang w:val="en-US"/>
                        </w:rPr>
                        <w:t>Fig 2.2.3</w:t>
                      </w:r>
                      <w:r w:rsidRPr="00D92BC3">
                        <w:rPr>
                          <w:sz w:val="20"/>
                          <w:lang w:val="en-US"/>
                        </w:rPr>
                        <w:t xml:space="preserve"> -</w:t>
                      </w:r>
                      <w:r w:rsidRPr="00D92BC3">
                        <w:rPr>
                          <w:sz w:val="18"/>
                          <w:lang w:val="en-US"/>
                        </w:rPr>
                        <w:t xml:space="preserve"> </w:t>
                      </w:r>
                      <w:r w:rsidRPr="00D92BC3">
                        <w:rPr>
                          <w:i/>
                          <w:sz w:val="20"/>
                          <w:lang w:val="en-US"/>
                        </w:rPr>
                        <w:t>Fonte: HM Revenue &amp; Customs</w:t>
                      </w:r>
                    </w:p>
                  </w:txbxContent>
                </v:textbox>
                <w10:wrap type="square" anchorx="margin"/>
              </v:shape>
            </w:pict>
          </mc:Fallback>
        </mc:AlternateContent>
      </w:r>
      <w:r w:rsidR="007D21BC" w:rsidRPr="00665924">
        <w:rPr>
          <w:rFonts w:cs="Times New Roman"/>
          <w:sz w:val="24"/>
        </w:rPr>
        <w:t>bilancia commerciale cinese</w:t>
      </w:r>
      <w:r w:rsidR="00A64229" w:rsidRPr="00665924">
        <w:rPr>
          <w:rStyle w:val="Rimandonotaapidipagina"/>
          <w:rFonts w:cs="Times New Roman"/>
          <w:sz w:val="24"/>
        </w:rPr>
        <w:footnoteReference w:id="8"/>
      </w:r>
      <w:r w:rsidR="0016384E" w:rsidRPr="00665924">
        <w:rPr>
          <w:rFonts w:cs="Times New Roman"/>
          <w:sz w:val="24"/>
        </w:rPr>
        <w:t>;</w:t>
      </w:r>
    </w:p>
    <w:p w:rsidR="0017315A" w:rsidRPr="0017315A" w:rsidRDefault="004A4437" w:rsidP="0017315A">
      <w:pPr>
        <w:spacing w:line="360" w:lineRule="auto"/>
        <w:ind w:firstLine="397"/>
        <w:jc w:val="both"/>
        <w:rPr>
          <w:rFonts w:cs="Times New Roman"/>
          <w:sz w:val="24"/>
        </w:rPr>
      </w:pPr>
      <w:r w:rsidRPr="00665924">
        <w:rPr>
          <w:rFonts w:cs="Times New Roman"/>
          <w:noProof/>
          <w:sz w:val="24"/>
          <w:lang w:eastAsia="it-IT"/>
        </w:rPr>
        <mc:AlternateContent>
          <mc:Choice Requires="wps">
            <w:drawing>
              <wp:anchor distT="45720" distB="45720" distL="114300" distR="114300" simplePos="0" relativeHeight="251684864" behindDoc="0" locked="0" layoutInCell="1" allowOverlap="1">
                <wp:simplePos x="0" y="0"/>
                <wp:positionH relativeFrom="column">
                  <wp:posOffset>718820</wp:posOffset>
                </wp:positionH>
                <wp:positionV relativeFrom="paragraph">
                  <wp:posOffset>821055</wp:posOffset>
                </wp:positionV>
                <wp:extent cx="3095625" cy="2686050"/>
                <wp:effectExtent l="0" t="0" r="28575" b="19050"/>
                <wp:wrapSquare wrapText="bothSides"/>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2686050"/>
                        </a:xfrm>
                        <a:prstGeom prst="rect">
                          <a:avLst/>
                        </a:prstGeom>
                        <a:solidFill>
                          <a:srgbClr val="FFFFFF"/>
                        </a:solidFill>
                        <a:ln w="9525">
                          <a:solidFill>
                            <a:schemeClr val="bg1"/>
                          </a:solidFill>
                          <a:miter lim="800000"/>
                          <a:headEnd/>
                          <a:tailEnd/>
                        </a:ln>
                      </wps:spPr>
                      <wps:txbx>
                        <w:txbxContent>
                          <w:p w:rsidR="00B63BAD" w:rsidRDefault="00B63BAD">
                            <w:r>
                              <w:rPr>
                                <w:noProof/>
                                <w:lang w:eastAsia="it-IT"/>
                              </w:rPr>
                              <w:drawing>
                                <wp:inline distT="0" distB="0" distL="0" distR="0" wp14:anchorId="6D065F94" wp14:editId="22A75BA3">
                                  <wp:extent cx="2895600" cy="1914525"/>
                                  <wp:effectExtent l="0" t="0" r="0" b="9525"/>
                                  <wp:docPr id="30" name="Immagine 30" descr="D:\Università\Tesi\Immagini\Biggest-Car-Brands-in-Britain-01-e1466674490129.png"/>
                                  <wp:cNvGraphicFramePr/>
                                  <a:graphic xmlns:a="http://schemas.openxmlformats.org/drawingml/2006/main">
                                    <a:graphicData uri="http://schemas.openxmlformats.org/drawingml/2006/picture">
                                      <pic:pic xmlns:pic="http://schemas.openxmlformats.org/drawingml/2006/picture">
                                        <pic:nvPicPr>
                                          <pic:cNvPr id="3" name="Immagine 3" descr="D:\Università\Tesi\Immagini\Biggest-Car-Brands-in-Britain-01-e1466674490129.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1914525"/>
                                          </a:xfrm>
                                          <a:prstGeom prst="rect">
                                            <a:avLst/>
                                          </a:prstGeom>
                                          <a:noFill/>
                                          <a:ln>
                                            <a:noFill/>
                                          </a:ln>
                                        </pic:spPr>
                                      </pic:pic>
                                    </a:graphicData>
                                  </a:graphic>
                                </wp:inline>
                              </w:drawing>
                            </w:r>
                          </w:p>
                          <w:p w:rsidR="00B63BAD" w:rsidRPr="00D92BC3" w:rsidRDefault="00B63BAD">
                            <w:pPr>
                              <w:rPr>
                                <w:sz w:val="20"/>
                                <w:szCs w:val="20"/>
                              </w:rPr>
                            </w:pPr>
                            <w:proofErr w:type="spellStart"/>
                            <w:r w:rsidRPr="00D92BC3">
                              <w:rPr>
                                <w:b/>
                                <w:sz w:val="20"/>
                                <w:szCs w:val="20"/>
                              </w:rPr>
                              <w:t>Fig</w:t>
                            </w:r>
                            <w:proofErr w:type="spellEnd"/>
                            <w:r w:rsidRPr="00D92BC3">
                              <w:rPr>
                                <w:b/>
                                <w:sz w:val="20"/>
                                <w:szCs w:val="20"/>
                              </w:rPr>
                              <w:t xml:space="preserve"> 2.2.5</w:t>
                            </w:r>
                            <w:r w:rsidRPr="00D92BC3">
                              <w:rPr>
                                <w:sz w:val="20"/>
                                <w:szCs w:val="20"/>
                              </w:rPr>
                              <w:t xml:space="preserve"> -  </w:t>
                            </w:r>
                            <w:r w:rsidRPr="00D92BC3">
                              <w:rPr>
                                <w:i/>
                                <w:sz w:val="20"/>
                                <w:szCs w:val="20"/>
                              </w:rPr>
                              <w:t>Principali marchi automobilistici inglesi</w:t>
                            </w:r>
                            <w:r w:rsidRPr="00D92BC3">
                              <w:rPr>
                                <w:i/>
                                <w:sz w:val="20"/>
                                <w:szCs w:val="20"/>
                              </w:rPr>
                              <w:br/>
                              <w:t xml:space="preserve">Fonte: </w:t>
                            </w:r>
                            <w:proofErr w:type="spellStart"/>
                            <w:r w:rsidRPr="00D92BC3">
                              <w:rPr>
                                <w:i/>
                                <w:sz w:val="20"/>
                                <w:szCs w:val="20"/>
                              </w:rPr>
                              <w:t>Handselblatt</w:t>
                            </w:r>
                            <w:proofErr w:type="spellEnd"/>
                          </w:p>
                          <w:p w:rsidR="00B63BAD" w:rsidRDefault="00B63B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56.6pt;margin-top:64.65pt;width:243.75pt;height:21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" strokecolor="white [3212]">
                <v:textbox>
                  <w:txbxContent>
                    <w:p w:rsidR="00B63BAD" w:rsidRDefault="00B63BAD">
                      <w:r>
                        <w:rPr>
                          <w:noProof/>
                          <w:lang w:eastAsia="it-IT"/>
                        </w:rPr>
                        <w:drawing>
                          <wp:inline distT="0" distB="0" distL="0" distR="0" wp14:anchorId="6D065F94" wp14:editId="22A75BA3">
                            <wp:extent cx="2895600" cy="1914525"/>
                            <wp:effectExtent l="0" t="0" r="0" b="9525"/>
                            <wp:docPr id="30" name="Immagine 30" descr="D:\Università\Tesi\Immagini\Biggest-Car-Brands-in-Britain-01-e1466674490129.png"/>
                            <wp:cNvGraphicFramePr/>
                            <a:graphic xmlns:a="http://schemas.openxmlformats.org/drawingml/2006/main">
                              <a:graphicData uri="http://schemas.openxmlformats.org/drawingml/2006/picture">
                                <pic:pic xmlns:pic="http://schemas.openxmlformats.org/drawingml/2006/picture">
                                  <pic:nvPicPr>
                                    <pic:cNvPr id="3" name="Immagine 3" descr="D:\Università\Tesi\Immagini\Biggest-Car-Brands-in-Britain-01-e1466674490129.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1914525"/>
                                    </a:xfrm>
                                    <a:prstGeom prst="rect">
                                      <a:avLst/>
                                    </a:prstGeom>
                                    <a:noFill/>
                                    <a:ln>
                                      <a:noFill/>
                                    </a:ln>
                                  </pic:spPr>
                                </pic:pic>
                              </a:graphicData>
                            </a:graphic>
                          </wp:inline>
                        </w:drawing>
                      </w:r>
                    </w:p>
                    <w:p w:rsidR="00B63BAD" w:rsidRPr="00D92BC3" w:rsidRDefault="00B63BAD">
                      <w:pPr>
                        <w:rPr>
                          <w:sz w:val="20"/>
                          <w:szCs w:val="20"/>
                        </w:rPr>
                      </w:pPr>
                      <w:r w:rsidRPr="00D92BC3">
                        <w:rPr>
                          <w:b/>
                          <w:sz w:val="20"/>
                          <w:szCs w:val="20"/>
                        </w:rPr>
                        <w:t>Fig 2.2.5</w:t>
                      </w:r>
                      <w:r w:rsidRPr="00D92BC3">
                        <w:rPr>
                          <w:sz w:val="20"/>
                          <w:szCs w:val="20"/>
                        </w:rPr>
                        <w:t xml:space="preserve"> -  </w:t>
                      </w:r>
                      <w:r w:rsidRPr="00D92BC3">
                        <w:rPr>
                          <w:i/>
                          <w:sz w:val="20"/>
                          <w:szCs w:val="20"/>
                        </w:rPr>
                        <w:t>Principali marchi automobilistici inglesi</w:t>
                      </w:r>
                      <w:r w:rsidRPr="00D92BC3">
                        <w:rPr>
                          <w:i/>
                          <w:sz w:val="20"/>
                          <w:szCs w:val="20"/>
                        </w:rPr>
                        <w:br/>
                        <w:t>Fonte: Handselblatt</w:t>
                      </w:r>
                    </w:p>
                    <w:p w:rsidR="00B63BAD" w:rsidRDefault="00B63BAD"/>
                  </w:txbxContent>
                </v:textbox>
                <w10:wrap type="square"/>
              </v:shape>
            </w:pict>
          </mc:Fallback>
        </mc:AlternateContent>
      </w:r>
      <w:r w:rsidR="0016384E" w:rsidRPr="00665924">
        <w:rPr>
          <w:rFonts w:cs="Times New Roman"/>
          <w:sz w:val="24"/>
        </w:rPr>
        <w:t xml:space="preserve">L’import </w:t>
      </w:r>
      <w:r w:rsidR="00773AD8" w:rsidRPr="00665924">
        <w:rPr>
          <w:rFonts w:cs="Times New Roman"/>
          <w:sz w:val="24"/>
        </w:rPr>
        <w:t>trova</w:t>
      </w:r>
      <w:r w:rsidR="0016384E" w:rsidRPr="00665924">
        <w:rPr>
          <w:rFonts w:cs="Times New Roman"/>
          <w:sz w:val="24"/>
        </w:rPr>
        <w:t xml:space="preserve"> un forte partner commerciale nella Germania con un flusso monetario quasi doppio rispetto a quello della Cina, seconda classificata</w:t>
      </w:r>
      <w:r w:rsidR="007D21BC" w:rsidRPr="00665924">
        <w:rPr>
          <w:rFonts w:cs="Times New Roman"/>
          <w:sz w:val="24"/>
        </w:rPr>
        <w:t xml:space="preserve"> e quasi a pari merito con gli Stati Uniti in terza posizione</w:t>
      </w:r>
      <w:r w:rsidR="0016384E" w:rsidRPr="00665924">
        <w:rPr>
          <w:rFonts w:cs="Times New Roman"/>
          <w:sz w:val="24"/>
        </w:rPr>
        <w:t xml:space="preserve">. </w:t>
      </w:r>
      <w:r w:rsidR="003D3644" w:rsidRPr="00665924">
        <w:rPr>
          <w:rFonts w:cs="Times New Roman"/>
          <w:sz w:val="24"/>
        </w:rPr>
        <w:br/>
      </w:r>
      <w:r w:rsidR="0016384E" w:rsidRPr="00665924">
        <w:rPr>
          <w:rFonts w:cs="Times New Roman"/>
          <w:sz w:val="24"/>
        </w:rPr>
        <w:t>Il primo posto non è inatteso</w:t>
      </w:r>
      <w:r w:rsidRPr="00665924">
        <w:rPr>
          <w:rFonts w:cs="Times New Roman"/>
          <w:sz w:val="24"/>
        </w:rPr>
        <w:t xml:space="preserve"> a causa della forte attrattiva che le automobili tedesche esercitano sul mercato inglese</w:t>
      </w:r>
      <w:r w:rsidR="007D21BC" w:rsidRPr="00665924">
        <w:rPr>
          <w:rFonts w:cs="Times New Roman"/>
          <w:sz w:val="24"/>
        </w:rPr>
        <w:t>,</w:t>
      </w:r>
      <w:r w:rsidRPr="00665924">
        <w:rPr>
          <w:rFonts w:cs="Times New Roman"/>
          <w:sz w:val="24"/>
        </w:rPr>
        <w:t xml:space="preserve"> guadagnandosi una macchina su tre.</w:t>
      </w:r>
      <w:r w:rsidRPr="00665924">
        <w:rPr>
          <w:rFonts w:cs="Times New Roman"/>
          <w:sz w:val="24"/>
        </w:rPr>
        <w:br/>
      </w:r>
      <w:r w:rsidRPr="00665924">
        <w:rPr>
          <w:rFonts w:cs="Times New Roman"/>
          <w:sz w:val="24"/>
        </w:rPr>
        <w:br/>
      </w:r>
      <w:r w:rsidR="0017315A" w:rsidRPr="0017315A">
        <w:rPr>
          <w:rFonts w:cs="Times New Roman"/>
          <w:sz w:val="24"/>
        </w:rPr>
        <w:t xml:space="preserve">È possibile che la </w:t>
      </w:r>
      <w:r w:rsidR="00B406A5">
        <w:rPr>
          <w:rFonts w:cs="Times New Roman"/>
          <w:sz w:val="24"/>
        </w:rPr>
        <w:t>Brexit</w:t>
      </w:r>
      <w:r w:rsidR="0017315A" w:rsidRPr="0017315A">
        <w:rPr>
          <w:rFonts w:cs="Times New Roman"/>
          <w:sz w:val="24"/>
        </w:rPr>
        <w:t xml:space="preserve"> vada ad arrecare danni al mercato automobilistico tedesco  nei primi anni per poi vedere gli effetti della separazione calmierati tramite accordi commerciali da stipulare.</w:t>
      </w:r>
    </w:p>
    <w:p w:rsidR="0016384E" w:rsidRPr="00665924" w:rsidRDefault="0017315A" w:rsidP="0017315A">
      <w:pPr>
        <w:spacing w:line="360" w:lineRule="auto"/>
        <w:ind w:firstLine="397"/>
        <w:jc w:val="both"/>
        <w:rPr>
          <w:rFonts w:cs="Times New Roman"/>
          <w:sz w:val="24"/>
        </w:rPr>
      </w:pPr>
      <w:r w:rsidRPr="0017315A">
        <w:rPr>
          <w:rFonts w:cs="Times New Roman"/>
          <w:sz w:val="24"/>
        </w:rPr>
        <w:t>Stati Uniti e Cina condividono il ruolo di maggior esportatore di elettronica di consumo e industriale mentre la prima acquisisce una posizione di dominanza nel settore dei mezzi di trasporto e la seconda nel tessile.</w:t>
      </w:r>
    </w:p>
    <w:p w:rsidR="000A772B" w:rsidRPr="00665924" w:rsidRDefault="00773AD8" w:rsidP="00665924">
      <w:pPr>
        <w:spacing w:line="360" w:lineRule="auto"/>
        <w:rPr>
          <w:rFonts w:cs="Times New Roman"/>
          <w:sz w:val="24"/>
        </w:rPr>
      </w:pPr>
      <w:r w:rsidRPr="00665924">
        <w:rPr>
          <w:rFonts w:cs="Times New Roman"/>
          <w:noProof/>
          <w:sz w:val="24"/>
          <w:lang w:eastAsia="it-IT"/>
        </w:rPr>
        <w:lastRenderedPageBreak/>
        <mc:AlternateContent>
          <mc:Choice Requires="wps">
            <w:drawing>
              <wp:anchor distT="45720" distB="45720" distL="114300" distR="114300" simplePos="0" relativeHeight="251680768" behindDoc="0" locked="0" layoutInCell="1" allowOverlap="1" wp14:anchorId="48DCD3F9" wp14:editId="5ABCCB9A">
                <wp:simplePos x="0" y="0"/>
                <wp:positionH relativeFrom="margin">
                  <wp:align>right</wp:align>
                </wp:positionH>
                <wp:positionV relativeFrom="paragraph">
                  <wp:posOffset>0</wp:posOffset>
                </wp:positionV>
                <wp:extent cx="2668270" cy="4114800"/>
                <wp:effectExtent l="0" t="0" r="17780" b="19050"/>
                <wp:wrapSquare wrapText="bothSides"/>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270" cy="4114800"/>
                        </a:xfrm>
                        <a:prstGeom prst="rect">
                          <a:avLst/>
                        </a:prstGeom>
                        <a:solidFill>
                          <a:srgbClr val="FFFFFF"/>
                        </a:solidFill>
                        <a:ln w="9525">
                          <a:solidFill>
                            <a:schemeClr val="bg1"/>
                          </a:solidFill>
                          <a:miter lim="800000"/>
                          <a:headEnd/>
                          <a:tailEnd/>
                        </a:ln>
                      </wps:spPr>
                      <wps:txbx>
                        <w:txbxContent>
                          <w:p w:rsidR="00B63BAD" w:rsidRDefault="00B63BAD" w:rsidP="00407ED3">
                            <w:pPr>
                              <w:rPr>
                                <w:sz w:val="20"/>
                              </w:rPr>
                            </w:pPr>
                            <w:r>
                              <w:rPr>
                                <w:rFonts w:cs="Times New Roman"/>
                                <w:noProof/>
                                <w:sz w:val="24"/>
                                <w:lang w:eastAsia="it-IT"/>
                              </w:rPr>
                              <w:drawing>
                                <wp:inline distT="0" distB="0" distL="0" distR="0" wp14:anchorId="5698F2A7" wp14:editId="44A1DA8B">
                                  <wp:extent cx="2466502" cy="3646968"/>
                                  <wp:effectExtent l="0" t="0" r="0" b="0"/>
                                  <wp:docPr id="16" name="Gra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63BAD" w:rsidRPr="008F423E" w:rsidRDefault="00B63BAD" w:rsidP="00407ED3">
                            <w:pPr>
                              <w:rPr>
                                <w:sz w:val="20"/>
                              </w:rPr>
                            </w:pPr>
                            <w:proofErr w:type="spellStart"/>
                            <w:r w:rsidRPr="00D92BC3">
                              <w:rPr>
                                <w:b/>
                                <w:sz w:val="20"/>
                              </w:rPr>
                              <w:t>Fig</w:t>
                            </w:r>
                            <w:proofErr w:type="spellEnd"/>
                            <w:r w:rsidRPr="00D92BC3">
                              <w:rPr>
                                <w:b/>
                                <w:sz w:val="20"/>
                              </w:rPr>
                              <w:t xml:space="preserve"> 2.2.7</w:t>
                            </w:r>
                            <w:r>
                              <w:rPr>
                                <w:sz w:val="20"/>
                              </w:rPr>
                              <w:t xml:space="preserve"> </w:t>
                            </w:r>
                            <w:r w:rsidRPr="00D92BC3">
                              <w:rPr>
                                <w:i/>
                                <w:sz w:val="20"/>
                              </w:rPr>
                              <w:t xml:space="preserve">- Fonte: HM </w:t>
                            </w:r>
                            <w:proofErr w:type="spellStart"/>
                            <w:r w:rsidRPr="00D92BC3">
                              <w:rPr>
                                <w:i/>
                                <w:sz w:val="20"/>
                              </w:rPr>
                              <w:t>Revenue</w:t>
                            </w:r>
                            <w:proofErr w:type="spellEnd"/>
                            <w:r w:rsidRPr="00D92BC3">
                              <w:rPr>
                                <w:i/>
                                <w:sz w:val="20"/>
                              </w:rPr>
                              <w:t xml:space="preserve"> &amp; </w:t>
                            </w:r>
                            <w:proofErr w:type="spellStart"/>
                            <w:r w:rsidRPr="00D92BC3">
                              <w:rPr>
                                <w:i/>
                                <w:sz w:val="20"/>
                              </w:rPr>
                              <w:t>Customs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CD3F9" id="_x0000_s1036" type="#_x0000_t202" style="position:absolute;margin-left:158.9pt;margin-top:0;width:210.1pt;height:324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" strokecolor="white [3212]">
                <v:textbox>
                  <w:txbxContent>
                    <w:p w:rsidR="00B63BAD" w:rsidRDefault="00B63BAD" w:rsidP="00407ED3">
                      <w:pPr>
                        <w:rPr>
                          <w:sz w:val="20"/>
                        </w:rPr>
                      </w:pPr>
                      <w:r>
                        <w:rPr>
                          <w:rFonts w:cs="Times New Roman"/>
                          <w:noProof/>
                          <w:sz w:val="24"/>
                          <w:lang w:eastAsia="it-IT"/>
                        </w:rPr>
                        <w:drawing>
                          <wp:inline distT="0" distB="0" distL="0" distR="0" wp14:anchorId="5698F2A7" wp14:editId="44A1DA8B">
                            <wp:extent cx="2466502" cy="3646968"/>
                            <wp:effectExtent l="0" t="0" r="0" b="0"/>
                            <wp:docPr id="16" name="Gra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63BAD" w:rsidRPr="008F423E" w:rsidRDefault="00B63BAD" w:rsidP="00407ED3">
                      <w:pPr>
                        <w:rPr>
                          <w:sz w:val="20"/>
                        </w:rPr>
                      </w:pPr>
                      <w:r w:rsidRPr="00D92BC3">
                        <w:rPr>
                          <w:b/>
                          <w:sz w:val="20"/>
                        </w:rPr>
                        <w:t>Fig 2.2.7</w:t>
                      </w:r>
                      <w:r>
                        <w:rPr>
                          <w:sz w:val="20"/>
                        </w:rPr>
                        <w:t xml:space="preserve"> </w:t>
                      </w:r>
                      <w:r w:rsidRPr="00D92BC3">
                        <w:rPr>
                          <w:i/>
                          <w:sz w:val="20"/>
                        </w:rPr>
                        <w:t>- Fonte: HM Revenue &amp; Customs</w:t>
                      </w:r>
                    </w:p>
                  </w:txbxContent>
                </v:textbox>
                <w10:wrap type="square" anchorx="margin"/>
              </v:shape>
            </w:pict>
          </mc:Fallback>
        </mc:AlternateContent>
      </w:r>
      <w:r w:rsidRPr="00665924">
        <w:rPr>
          <w:rFonts w:cs="Times New Roman"/>
          <w:noProof/>
          <w:sz w:val="24"/>
          <w:lang w:eastAsia="it-IT"/>
        </w:rPr>
        <mc:AlternateContent>
          <mc:Choice Requires="wps">
            <w:drawing>
              <wp:anchor distT="45720" distB="45720" distL="114300" distR="114300" simplePos="0" relativeHeight="251681792" behindDoc="0" locked="0" layoutInCell="1" allowOverlap="1" wp14:anchorId="61668DDB" wp14:editId="365CE2AD">
                <wp:simplePos x="0" y="0"/>
                <wp:positionH relativeFrom="margin">
                  <wp:align>left</wp:align>
                </wp:positionH>
                <wp:positionV relativeFrom="paragraph">
                  <wp:posOffset>8890</wp:posOffset>
                </wp:positionV>
                <wp:extent cx="2764155" cy="4146550"/>
                <wp:effectExtent l="0" t="0" r="17145" b="25400"/>
                <wp:wrapSquare wrapText="bothSides"/>
                <wp:docPr id="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4146550"/>
                        </a:xfrm>
                        <a:prstGeom prst="rect">
                          <a:avLst/>
                        </a:prstGeom>
                        <a:solidFill>
                          <a:schemeClr val="bg1"/>
                        </a:solidFill>
                        <a:ln w="9525">
                          <a:solidFill>
                            <a:schemeClr val="bg1"/>
                          </a:solidFill>
                          <a:miter lim="800000"/>
                          <a:headEnd/>
                          <a:tailEnd/>
                        </a:ln>
                      </wps:spPr>
                      <wps:txbx>
                        <w:txbxContent>
                          <w:p w:rsidR="00B63BAD" w:rsidRDefault="00B63BAD" w:rsidP="00407ED3">
                            <w:pPr>
                              <w:rPr>
                                <w:sz w:val="20"/>
                              </w:rPr>
                            </w:pPr>
                            <w:r>
                              <w:rPr>
                                <w:rFonts w:cs="Times New Roman"/>
                                <w:noProof/>
                                <w:sz w:val="24"/>
                                <w:lang w:eastAsia="it-IT"/>
                              </w:rPr>
                              <w:drawing>
                                <wp:inline distT="0" distB="0" distL="0" distR="0" wp14:anchorId="567CCB88" wp14:editId="0C98F9F3">
                                  <wp:extent cx="2530549" cy="3646805"/>
                                  <wp:effectExtent l="0" t="0" r="3175" b="0"/>
                                  <wp:docPr id="17" name="Gra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63BAD" w:rsidRPr="008F423E" w:rsidRDefault="00B63BAD" w:rsidP="00407ED3">
                            <w:pPr>
                              <w:rPr>
                                <w:sz w:val="20"/>
                              </w:rPr>
                            </w:pPr>
                            <w:proofErr w:type="spellStart"/>
                            <w:r w:rsidRPr="00D92BC3">
                              <w:rPr>
                                <w:b/>
                                <w:sz w:val="20"/>
                              </w:rPr>
                              <w:t>Fig</w:t>
                            </w:r>
                            <w:proofErr w:type="spellEnd"/>
                            <w:r w:rsidRPr="00D92BC3">
                              <w:rPr>
                                <w:b/>
                                <w:sz w:val="20"/>
                              </w:rPr>
                              <w:t xml:space="preserve"> 2.2.6</w:t>
                            </w:r>
                            <w:r>
                              <w:rPr>
                                <w:sz w:val="20"/>
                              </w:rPr>
                              <w:t xml:space="preserve"> </w:t>
                            </w:r>
                            <w:r w:rsidRPr="00D92BC3">
                              <w:rPr>
                                <w:i/>
                                <w:sz w:val="20"/>
                              </w:rPr>
                              <w:t xml:space="preserve">- Fonte: HM </w:t>
                            </w:r>
                            <w:proofErr w:type="spellStart"/>
                            <w:r w:rsidRPr="00D92BC3">
                              <w:rPr>
                                <w:i/>
                                <w:sz w:val="20"/>
                              </w:rPr>
                              <w:t>Revenue</w:t>
                            </w:r>
                            <w:proofErr w:type="spellEnd"/>
                            <w:r w:rsidRPr="00D92BC3">
                              <w:rPr>
                                <w:i/>
                                <w:sz w:val="20"/>
                              </w:rPr>
                              <w:t xml:space="preserve"> &amp; </w:t>
                            </w:r>
                            <w:proofErr w:type="spellStart"/>
                            <w:r w:rsidRPr="00D92BC3">
                              <w:rPr>
                                <w:i/>
                                <w:sz w:val="20"/>
                              </w:rPr>
                              <w:t>Customs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68DDB" id="_x0000_s1037" type="#_x0000_t202" style="position:absolute;margin-left:0;margin-top:.7pt;width:217.65pt;height:326.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" fillcolor="white [3212]" strokecolor="white [3212]">
                <v:textbox>
                  <w:txbxContent>
                    <w:p w:rsidR="00B63BAD" w:rsidRDefault="00B63BAD" w:rsidP="00407ED3">
                      <w:pPr>
                        <w:rPr>
                          <w:sz w:val="20"/>
                        </w:rPr>
                      </w:pPr>
                      <w:r>
                        <w:rPr>
                          <w:rFonts w:cs="Times New Roman"/>
                          <w:noProof/>
                          <w:sz w:val="24"/>
                          <w:lang w:eastAsia="it-IT"/>
                        </w:rPr>
                        <w:drawing>
                          <wp:inline distT="0" distB="0" distL="0" distR="0" wp14:anchorId="567CCB88" wp14:editId="0C98F9F3">
                            <wp:extent cx="2530549" cy="3646805"/>
                            <wp:effectExtent l="0" t="0" r="3175" b="0"/>
                            <wp:docPr id="17" name="Gra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63BAD" w:rsidRPr="008F423E" w:rsidRDefault="00B63BAD" w:rsidP="00407ED3">
                      <w:pPr>
                        <w:rPr>
                          <w:sz w:val="20"/>
                        </w:rPr>
                      </w:pPr>
                      <w:r w:rsidRPr="00D92BC3">
                        <w:rPr>
                          <w:b/>
                          <w:sz w:val="20"/>
                        </w:rPr>
                        <w:t>Fig 2.2.6</w:t>
                      </w:r>
                      <w:r>
                        <w:rPr>
                          <w:sz w:val="20"/>
                        </w:rPr>
                        <w:t xml:space="preserve"> </w:t>
                      </w:r>
                      <w:r w:rsidRPr="00D92BC3">
                        <w:rPr>
                          <w:i/>
                          <w:sz w:val="20"/>
                        </w:rPr>
                        <w:t>- Fonte: HM Revenue &amp; Customs</w:t>
                      </w:r>
                    </w:p>
                  </w:txbxContent>
                </v:textbox>
                <w10:wrap type="square" anchorx="margin"/>
              </v:shape>
            </w:pict>
          </mc:Fallback>
        </mc:AlternateContent>
      </w:r>
    </w:p>
    <w:p w:rsidR="00681B35" w:rsidRPr="00665924" w:rsidRDefault="00681B35" w:rsidP="00665924">
      <w:pPr>
        <w:spacing w:line="360" w:lineRule="auto"/>
        <w:rPr>
          <w:rFonts w:cs="Times New Roman"/>
          <w:sz w:val="24"/>
        </w:rPr>
      </w:pPr>
      <w:r w:rsidRPr="00665924">
        <w:rPr>
          <w:rFonts w:cs="Times New Roman"/>
          <w:sz w:val="24"/>
        </w:rPr>
        <w:br w:type="page"/>
      </w:r>
    </w:p>
    <w:p w:rsidR="00681B35" w:rsidRDefault="00681B35" w:rsidP="00665924">
      <w:pPr>
        <w:pStyle w:val="Titolo2"/>
        <w:numPr>
          <w:ilvl w:val="1"/>
          <w:numId w:val="3"/>
        </w:numPr>
        <w:spacing w:line="360" w:lineRule="auto"/>
        <w:rPr>
          <w:rFonts w:cs="Times New Roman"/>
        </w:rPr>
      </w:pPr>
      <w:bookmarkStart w:id="14" w:name="_Toc475559360"/>
      <w:r w:rsidRPr="00665924">
        <w:rPr>
          <w:rFonts w:cs="Times New Roman"/>
        </w:rPr>
        <w:lastRenderedPageBreak/>
        <w:t>Il paradosso giapponese</w:t>
      </w:r>
      <w:r w:rsidR="001C4594" w:rsidRPr="00665924">
        <w:rPr>
          <w:rFonts w:cs="Times New Roman"/>
        </w:rPr>
        <w:t xml:space="preserve"> e la magia del cambio variabile</w:t>
      </w:r>
      <w:bookmarkEnd w:id="14"/>
    </w:p>
    <w:p w:rsidR="0017315A" w:rsidRPr="0017315A" w:rsidRDefault="0017315A" w:rsidP="0017315A"/>
    <w:p w:rsidR="000678C3" w:rsidRPr="00665924" w:rsidRDefault="000678C3" w:rsidP="00665924">
      <w:pPr>
        <w:spacing w:line="360" w:lineRule="auto"/>
        <w:ind w:firstLine="397"/>
        <w:jc w:val="both"/>
        <w:rPr>
          <w:rFonts w:cs="Times New Roman"/>
          <w:sz w:val="24"/>
        </w:rPr>
      </w:pPr>
      <w:r w:rsidRPr="00665924">
        <w:rPr>
          <w:rFonts w:cs="Times New Roman"/>
          <w:sz w:val="24"/>
        </w:rPr>
        <w:t xml:space="preserve">“Può, il batter d'ali di una farfalla in Brasile, provocare un tornado in Texas?” questo fu il titolo di una conferenza che Lorenz tenne nel 1972. La frase si riferisce all’effetto farfalla, una semplificazione della teoria del caos secondo la quale un minimo mutamento può portare alle conseguenze più inaspettate. In questo caso la farfalla si chiama </w:t>
      </w:r>
      <w:r w:rsidR="00B406A5">
        <w:rPr>
          <w:rFonts w:cs="Times New Roman"/>
          <w:sz w:val="24"/>
        </w:rPr>
        <w:t>Brexit</w:t>
      </w:r>
      <w:r w:rsidRPr="00665924">
        <w:rPr>
          <w:rFonts w:cs="Times New Roman"/>
          <w:sz w:val="24"/>
        </w:rPr>
        <w:t xml:space="preserve"> e il tornado in Texas è un rafforzamento dello Yen in Giappone.</w:t>
      </w:r>
    </w:p>
    <w:p w:rsidR="00196864" w:rsidRPr="00665924" w:rsidRDefault="00F91D48" w:rsidP="00665924">
      <w:pPr>
        <w:spacing w:line="360" w:lineRule="auto"/>
        <w:ind w:firstLine="397"/>
        <w:jc w:val="both"/>
        <w:rPr>
          <w:rFonts w:cs="Times New Roman"/>
          <w:sz w:val="24"/>
        </w:rPr>
      </w:pPr>
      <w:r w:rsidRPr="00665924">
        <w:rPr>
          <w:rFonts w:cs="Times New Roman"/>
          <w:b/>
          <w:noProof/>
          <w:lang w:eastAsia="it-IT"/>
        </w:rPr>
        <mc:AlternateContent>
          <mc:Choice Requires="wps">
            <w:drawing>
              <wp:anchor distT="45720" distB="45720" distL="114300" distR="114300" simplePos="0" relativeHeight="251686912" behindDoc="0" locked="0" layoutInCell="1" allowOverlap="1">
                <wp:simplePos x="0" y="0"/>
                <wp:positionH relativeFrom="margin">
                  <wp:posOffset>-43180</wp:posOffset>
                </wp:positionH>
                <wp:positionV relativeFrom="paragraph">
                  <wp:posOffset>12700</wp:posOffset>
                </wp:positionV>
                <wp:extent cx="4061460" cy="3190875"/>
                <wp:effectExtent l="0" t="0" r="15240" b="28575"/>
                <wp:wrapSquare wrapText="bothSides"/>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190875"/>
                        </a:xfrm>
                        <a:prstGeom prst="rect">
                          <a:avLst/>
                        </a:prstGeom>
                        <a:solidFill>
                          <a:srgbClr val="FFFFFF"/>
                        </a:solidFill>
                        <a:ln w="9525">
                          <a:solidFill>
                            <a:schemeClr val="bg1"/>
                          </a:solidFill>
                          <a:miter lim="800000"/>
                          <a:headEnd/>
                          <a:tailEnd/>
                        </a:ln>
                      </wps:spPr>
                      <wps:txbx>
                        <w:txbxContent>
                          <w:p w:rsidR="00B63BAD" w:rsidRPr="00D92BC3" w:rsidRDefault="00B63BAD">
                            <w:pPr>
                              <w:rPr>
                                <w:sz w:val="20"/>
                                <w:szCs w:val="20"/>
                              </w:rPr>
                            </w:pPr>
                            <w:r w:rsidRPr="00D92BC3">
                              <w:rPr>
                                <w:noProof/>
                                <w:sz w:val="20"/>
                                <w:szCs w:val="20"/>
                                <w:lang w:eastAsia="it-IT"/>
                              </w:rPr>
                              <w:drawing>
                                <wp:inline distT="0" distB="0" distL="0" distR="0" wp14:anchorId="49276771" wp14:editId="07B835FE">
                                  <wp:extent cx="3878021" cy="2551814"/>
                                  <wp:effectExtent l="0" t="0" r="8255" b="1270"/>
                                  <wp:docPr id="40" name="Immagine 40" descr="D:\Università\Tesi\Immagini\Eur-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tà\Tesi\Immagini\Eur-Y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5152" cy="2563087"/>
                                          </a:xfrm>
                                          <a:prstGeom prst="rect">
                                            <a:avLst/>
                                          </a:prstGeom>
                                          <a:noFill/>
                                          <a:ln>
                                            <a:noFill/>
                                          </a:ln>
                                        </pic:spPr>
                                      </pic:pic>
                                    </a:graphicData>
                                  </a:graphic>
                                </wp:inline>
                              </w:drawing>
                            </w:r>
                          </w:p>
                          <w:p w:rsidR="00B63BAD" w:rsidRPr="00D92BC3" w:rsidRDefault="00B63BAD">
                            <w:pPr>
                              <w:rPr>
                                <w:i/>
                                <w:sz w:val="20"/>
                                <w:szCs w:val="20"/>
                              </w:rPr>
                            </w:pPr>
                            <w:proofErr w:type="spellStart"/>
                            <w:r w:rsidRPr="00D92BC3">
                              <w:rPr>
                                <w:b/>
                                <w:sz w:val="20"/>
                                <w:szCs w:val="20"/>
                              </w:rPr>
                              <w:t>Fig</w:t>
                            </w:r>
                            <w:proofErr w:type="spellEnd"/>
                            <w:r w:rsidRPr="00D92BC3">
                              <w:rPr>
                                <w:b/>
                                <w:sz w:val="20"/>
                                <w:szCs w:val="20"/>
                              </w:rPr>
                              <w:t xml:space="preserve"> 2.3.1.</w:t>
                            </w:r>
                            <w:r w:rsidRPr="00D92BC3">
                              <w:rPr>
                                <w:sz w:val="20"/>
                                <w:szCs w:val="20"/>
                              </w:rPr>
                              <w:t xml:space="preserve"> – </w:t>
                            </w:r>
                            <w:r w:rsidRPr="00D92BC3">
                              <w:rPr>
                                <w:i/>
                                <w:sz w:val="20"/>
                                <w:szCs w:val="20"/>
                              </w:rPr>
                              <w:t>Cambio EUR/JPY dall’1 giugno 2016 al 16 luglio 2016</w:t>
                            </w:r>
                          </w:p>
                          <w:p w:rsidR="00B63BAD" w:rsidRPr="00D92BC3" w:rsidRDefault="00B63BAD">
                            <w:pPr>
                              <w:rPr>
                                <w:i/>
                                <w:sz w:val="20"/>
                                <w:szCs w:val="20"/>
                              </w:rPr>
                            </w:pPr>
                            <w:r w:rsidRPr="00D92BC3">
                              <w:rPr>
                                <w:i/>
                                <w:sz w:val="20"/>
                                <w:szCs w:val="20"/>
                              </w:rPr>
                              <w:t>Fonte: http://www.xe.com/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4pt;margin-top:1pt;width:319.8pt;height:251.2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" strokecolor="white [3212]">
                <v:textbox>
                  <w:txbxContent>
                    <w:p w:rsidR="00B63BAD" w:rsidRPr="00D92BC3" w:rsidRDefault="00B63BAD">
                      <w:pPr>
                        <w:rPr>
                          <w:sz w:val="20"/>
                          <w:szCs w:val="20"/>
                        </w:rPr>
                      </w:pPr>
                      <w:r w:rsidRPr="00D92BC3">
                        <w:rPr>
                          <w:noProof/>
                          <w:sz w:val="20"/>
                          <w:szCs w:val="20"/>
                          <w:lang w:eastAsia="it-IT"/>
                        </w:rPr>
                        <w:drawing>
                          <wp:inline distT="0" distB="0" distL="0" distR="0" wp14:anchorId="49276771" wp14:editId="07B835FE">
                            <wp:extent cx="3878021" cy="2551814"/>
                            <wp:effectExtent l="0" t="0" r="8255" b="1270"/>
                            <wp:docPr id="40" name="Immagine 40" descr="D:\Università\Tesi\Immagini\Eur-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tà\Tesi\Immagini\Eur-Y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5152" cy="2563087"/>
                                    </a:xfrm>
                                    <a:prstGeom prst="rect">
                                      <a:avLst/>
                                    </a:prstGeom>
                                    <a:noFill/>
                                    <a:ln>
                                      <a:noFill/>
                                    </a:ln>
                                  </pic:spPr>
                                </pic:pic>
                              </a:graphicData>
                            </a:graphic>
                          </wp:inline>
                        </w:drawing>
                      </w:r>
                    </w:p>
                    <w:p w:rsidR="00B63BAD" w:rsidRPr="00D92BC3" w:rsidRDefault="00B63BAD">
                      <w:pPr>
                        <w:rPr>
                          <w:i/>
                          <w:sz w:val="20"/>
                          <w:szCs w:val="20"/>
                        </w:rPr>
                      </w:pPr>
                      <w:r w:rsidRPr="00D92BC3">
                        <w:rPr>
                          <w:b/>
                          <w:sz w:val="20"/>
                          <w:szCs w:val="20"/>
                        </w:rPr>
                        <w:t>Fig 2.3.1.</w:t>
                      </w:r>
                      <w:r w:rsidRPr="00D92BC3">
                        <w:rPr>
                          <w:sz w:val="20"/>
                          <w:szCs w:val="20"/>
                        </w:rPr>
                        <w:t xml:space="preserve"> – </w:t>
                      </w:r>
                      <w:r w:rsidRPr="00D92BC3">
                        <w:rPr>
                          <w:i/>
                          <w:sz w:val="20"/>
                          <w:szCs w:val="20"/>
                        </w:rPr>
                        <w:t>Cambio EUR/JPY dall’1 giugno 2016 al 16 luglio 2016</w:t>
                      </w:r>
                    </w:p>
                    <w:p w:rsidR="00B63BAD" w:rsidRPr="00D92BC3" w:rsidRDefault="00B63BAD">
                      <w:pPr>
                        <w:rPr>
                          <w:i/>
                          <w:sz w:val="20"/>
                          <w:szCs w:val="20"/>
                        </w:rPr>
                      </w:pPr>
                      <w:r w:rsidRPr="00D92BC3">
                        <w:rPr>
                          <w:i/>
                          <w:sz w:val="20"/>
                          <w:szCs w:val="20"/>
                        </w:rPr>
                        <w:t>Fonte: http://www.xe.com/</w:t>
                      </w:r>
                    </w:p>
                  </w:txbxContent>
                </v:textbox>
                <w10:wrap type="square" anchorx="margin"/>
              </v:shape>
            </w:pict>
          </mc:Fallback>
        </mc:AlternateContent>
      </w:r>
      <w:r w:rsidR="000678C3" w:rsidRPr="00665924">
        <w:rPr>
          <w:rFonts w:cs="Times New Roman"/>
          <w:sz w:val="24"/>
        </w:rPr>
        <w:t xml:space="preserve">Per quanto questo mutamento possa sembrare </w:t>
      </w:r>
      <w:r w:rsidR="00196864" w:rsidRPr="00665924">
        <w:rPr>
          <w:rFonts w:cs="Times New Roman"/>
          <w:sz w:val="24"/>
        </w:rPr>
        <w:t>strano, in realtà la spiegazione è più semplice di quanto ci si possa aspettare: incertezza valutaria.</w:t>
      </w:r>
    </w:p>
    <w:p w:rsidR="00100D26" w:rsidRDefault="00F91D48" w:rsidP="00665924">
      <w:pPr>
        <w:spacing w:line="360" w:lineRule="auto"/>
        <w:ind w:firstLine="397"/>
        <w:jc w:val="both"/>
        <w:rPr>
          <w:rFonts w:cs="Times New Roman"/>
          <w:sz w:val="24"/>
        </w:rPr>
      </w:pPr>
      <w:r w:rsidRPr="00665924">
        <w:rPr>
          <w:rFonts w:cs="Times New Roman"/>
          <w:sz w:val="24"/>
        </w:rPr>
        <w:br/>
      </w:r>
      <w:r w:rsidRPr="00665924">
        <w:rPr>
          <w:rFonts w:cs="Times New Roman"/>
          <w:sz w:val="24"/>
        </w:rPr>
        <w:br/>
      </w:r>
      <w:r w:rsidRPr="00665924">
        <w:rPr>
          <w:rFonts w:cs="Times New Roman"/>
          <w:sz w:val="24"/>
        </w:rPr>
        <w:br/>
      </w:r>
      <w:r w:rsidRPr="00665924">
        <w:rPr>
          <w:rFonts w:cs="Times New Roman"/>
          <w:sz w:val="24"/>
        </w:rPr>
        <w:br/>
      </w:r>
      <w:r w:rsidRPr="00665924">
        <w:rPr>
          <w:rFonts w:cs="Times New Roman"/>
          <w:sz w:val="24"/>
        </w:rPr>
        <w:br/>
      </w:r>
    </w:p>
    <w:p w:rsidR="00196864" w:rsidRPr="00665924" w:rsidRDefault="00196864" w:rsidP="00665924">
      <w:pPr>
        <w:spacing w:line="360" w:lineRule="auto"/>
        <w:ind w:firstLine="397"/>
        <w:jc w:val="both"/>
        <w:rPr>
          <w:rFonts w:cs="Times New Roman"/>
          <w:sz w:val="24"/>
        </w:rPr>
      </w:pPr>
      <w:r w:rsidRPr="00665924">
        <w:rPr>
          <w:rFonts w:cs="Times New Roman"/>
          <w:sz w:val="24"/>
        </w:rPr>
        <w:t>Per comprendere meglio questo contagio è necessaria l’introduzione al concetto di “</w:t>
      </w:r>
      <w:proofErr w:type="spellStart"/>
      <w:r w:rsidRPr="00665924">
        <w:rPr>
          <w:rFonts w:cs="Times New Roman"/>
          <w:sz w:val="24"/>
        </w:rPr>
        <w:t>carry</w:t>
      </w:r>
      <w:proofErr w:type="spellEnd"/>
      <w:r w:rsidRPr="00665924">
        <w:rPr>
          <w:rFonts w:cs="Times New Roman"/>
          <w:sz w:val="24"/>
        </w:rPr>
        <w:t xml:space="preserve"> </w:t>
      </w:r>
      <w:proofErr w:type="spellStart"/>
      <w:r w:rsidRPr="00665924">
        <w:rPr>
          <w:rFonts w:cs="Times New Roman"/>
          <w:sz w:val="24"/>
        </w:rPr>
        <w:t>trade</w:t>
      </w:r>
      <w:proofErr w:type="spellEnd"/>
      <w:r w:rsidRPr="00665924">
        <w:rPr>
          <w:rFonts w:cs="Times New Roman"/>
          <w:sz w:val="24"/>
        </w:rPr>
        <w:t>”:</w:t>
      </w:r>
    </w:p>
    <w:p w:rsidR="00F91D48" w:rsidRPr="00665924" w:rsidRDefault="00196864" w:rsidP="00665924">
      <w:pPr>
        <w:spacing w:line="360" w:lineRule="auto"/>
        <w:ind w:left="567" w:right="567" w:firstLine="397"/>
        <w:jc w:val="both"/>
        <w:rPr>
          <w:rFonts w:cs="Times New Roman"/>
          <w:i/>
          <w:sz w:val="20"/>
        </w:rPr>
      </w:pPr>
      <w:r w:rsidRPr="00665924">
        <w:rPr>
          <w:rFonts w:cs="Times New Roman"/>
          <w:i/>
          <w:sz w:val="20"/>
        </w:rPr>
        <w:t xml:space="preserve">“Con il termine </w:t>
      </w:r>
      <w:proofErr w:type="spellStart"/>
      <w:r w:rsidRPr="00665924">
        <w:rPr>
          <w:rFonts w:cs="Times New Roman"/>
          <w:i/>
          <w:sz w:val="20"/>
        </w:rPr>
        <w:t>Carry</w:t>
      </w:r>
      <w:proofErr w:type="spellEnd"/>
      <w:r w:rsidRPr="00665924">
        <w:rPr>
          <w:rFonts w:cs="Times New Roman"/>
          <w:i/>
          <w:sz w:val="20"/>
        </w:rPr>
        <w:t xml:space="preserve"> </w:t>
      </w:r>
      <w:proofErr w:type="spellStart"/>
      <w:r w:rsidRPr="00665924">
        <w:rPr>
          <w:rFonts w:cs="Times New Roman"/>
          <w:i/>
          <w:sz w:val="20"/>
        </w:rPr>
        <w:t>Trade</w:t>
      </w:r>
      <w:proofErr w:type="spellEnd"/>
      <w:r w:rsidRPr="00665924">
        <w:rPr>
          <w:rFonts w:cs="Times New Roman"/>
          <w:i/>
          <w:sz w:val="20"/>
        </w:rPr>
        <w:t xml:space="preserve"> vengono indicate quelle operazioni in ambito valutario che sfruttano le differenze tra i vari tassi di interesse prendendo a prestito del denaro nei mercati in cui costa meno – e dunque i tassi sono più bassi – e impiegandolo laddove tassi più elevati consentono rendimenti cospicui. La restituzione delle risorse a debito con un più basso tasso di interesse consente di lucrare sulle differenze fra i vari mercati del mondo.” [Fonte: </w:t>
      </w:r>
      <w:hyperlink r:id="rId32" w:history="1">
        <w:r w:rsidR="00F91D48" w:rsidRPr="00665924">
          <w:rPr>
            <w:rStyle w:val="Collegamentoipertestuale"/>
            <w:rFonts w:cs="Times New Roman"/>
            <w:i/>
            <w:sz w:val="20"/>
          </w:rPr>
          <w:t>http://www.borsaitaliana.it/</w:t>
        </w:r>
      </w:hyperlink>
      <w:r w:rsidRPr="00665924">
        <w:rPr>
          <w:rFonts w:cs="Times New Roman"/>
          <w:i/>
          <w:sz w:val="20"/>
        </w:rPr>
        <w:t>]</w:t>
      </w:r>
    </w:p>
    <w:p w:rsidR="008D150E" w:rsidRPr="00665924" w:rsidRDefault="00F91D48" w:rsidP="00665924">
      <w:pPr>
        <w:spacing w:line="360" w:lineRule="auto"/>
        <w:ind w:firstLine="397"/>
        <w:jc w:val="both"/>
        <w:rPr>
          <w:rFonts w:cs="Times New Roman"/>
          <w:sz w:val="24"/>
        </w:rPr>
      </w:pPr>
      <w:r w:rsidRPr="00665924">
        <w:rPr>
          <w:rFonts w:cs="Times New Roman"/>
          <w:sz w:val="24"/>
        </w:rPr>
        <w:t>Storicamente i tassi di interesse giapponesi sono vicini allo 0%, per questo motivo i trader si indebitano in Giappone per poi reinvestire i capitali acquisiti in attività con un tasso d’interesse più alto, sfruttando in questo modo la leva finanziaria.</w:t>
      </w:r>
    </w:p>
    <w:p w:rsidR="001C4594" w:rsidRPr="00665924" w:rsidRDefault="00F91D48" w:rsidP="00665924">
      <w:pPr>
        <w:spacing w:line="360" w:lineRule="auto"/>
        <w:ind w:firstLine="397"/>
        <w:jc w:val="both"/>
        <w:rPr>
          <w:rFonts w:cs="Times New Roman"/>
          <w:sz w:val="24"/>
        </w:rPr>
      </w:pPr>
      <w:r w:rsidRPr="00665924">
        <w:rPr>
          <w:rFonts w:cs="Times New Roman"/>
          <w:sz w:val="24"/>
        </w:rPr>
        <w:lastRenderedPageBreak/>
        <w:t xml:space="preserve">Avvenimento inconsueto, però, è quando </w:t>
      </w:r>
      <w:r w:rsidR="001C4594" w:rsidRPr="00665924">
        <w:rPr>
          <w:rFonts w:cs="Times New Roman"/>
          <w:sz w:val="24"/>
        </w:rPr>
        <w:t xml:space="preserve">questo algoritmo finanziario lavora in maniera opposta, ovvero i trader iniziano a liquidare le proprie attività per poter acquistare yen per, infine, ripianare i debiti. L’effetto di questa corsa allo yen condanna la valuta giapponese ad </w:t>
      </w:r>
      <w:r w:rsidR="00286210" w:rsidRPr="00665924">
        <w:rPr>
          <w:rFonts w:cs="Times New Roman"/>
          <w:noProof/>
          <w:sz w:val="24"/>
          <w:lang w:eastAsia="it-IT"/>
        </w:rPr>
        <mc:AlternateContent>
          <mc:Choice Requires="wps">
            <w:drawing>
              <wp:anchor distT="45720" distB="45720" distL="114300" distR="114300" simplePos="0" relativeHeight="251688960" behindDoc="0" locked="0" layoutInCell="1" allowOverlap="1">
                <wp:simplePos x="0" y="0"/>
                <wp:positionH relativeFrom="margin">
                  <wp:align>right</wp:align>
                </wp:positionH>
                <wp:positionV relativeFrom="paragraph">
                  <wp:posOffset>520065</wp:posOffset>
                </wp:positionV>
                <wp:extent cx="5724525" cy="3600450"/>
                <wp:effectExtent l="0" t="0" r="28575" b="19050"/>
                <wp:wrapSquare wrapText="bothSides"/>
                <wp:docPr id="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3600450"/>
                        </a:xfrm>
                        <a:prstGeom prst="rect">
                          <a:avLst/>
                        </a:prstGeom>
                        <a:solidFill>
                          <a:srgbClr val="FFFFFF"/>
                        </a:solidFill>
                        <a:ln w="9525">
                          <a:solidFill>
                            <a:schemeClr val="bg1"/>
                          </a:solidFill>
                          <a:miter lim="800000"/>
                          <a:headEnd/>
                          <a:tailEnd/>
                        </a:ln>
                      </wps:spPr>
                      <wps:txbx>
                        <w:txbxContent>
                          <w:p w:rsidR="00B63BAD" w:rsidRPr="00D92BC3" w:rsidRDefault="00B63BAD">
                            <w:pPr>
                              <w:rPr>
                                <w:sz w:val="20"/>
                                <w:szCs w:val="20"/>
                              </w:rPr>
                            </w:pPr>
                            <w:r w:rsidRPr="00D92BC3">
                              <w:rPr>
                                <w:noProof/>
                                <w:sz w:val="20"/>
                                <w:szCs w:val="20"/>
                                <w:lang w:eastAsia="it-IT"/>
                              </w:rPr>
                              <w:drawing>
                                <wp:inline distT="0" distB="0" distL="0" distR="0">
                                  <wp:extent cx="5619750" cy="2974592"/>
                                  <wp:effectExtent l="0" t="0" r="0" b="0"/>
                                  <wp:docPr id="42" name="Immagine 42" descr="D:\Università\Tesi\Immagini\FOTO-GRAFICO_borse-24-giugno-ore-18.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à\Tesi\Immagini\FOTO-GRAFICO_borse-24-giugno-ore-18.00-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5598" cy="2977687"/>
                                          </a:xfrm>
                                          <a:prstGeom prst="rect">
                                            <a:avLst/>
                                          </a:prstGeom>
                                          <a:noFill/>
                                          <a:ln>
                                            <a:noFill/>
                                          </a:ln>
                                        </pic:spPr>
                                      </pic:pic>
                                    </a:graphicData>
                                  </a:graphic>
                                </wp:inline>
                              </w:drawing>
                            </w:r>
                          </w:p>
                          <w:p w:rsidR="00B63BAD" w:rsidRPr="00D92BC3" w:rsidRDefault="00B63BAD">
                            <w:pPr>
                              <w:rPr>
                                <w:i/>
                                <w:sz w:val="20"/>
                                <w:szCs w:val="20"/>
                              </w:rPr>
                            </w:pPr>
                            <w:proofErr w:type="spellStart"/>
                            <w:r w:rsidRPr="00D92BC3">
                              <w:rPr>
                                <w:b/>
                                <w:sz w:val="20"/>
                                <w:szCs w:val="20"/>
                              </w:rPr>
                              <w:t>Fig</w:t>
                            </w:r>
                            <w:proofErr w:type="spellEnd"/>
                            <w:r w:rsidRPr="00D92BC3">
                              <w:rPr>
                                <w:b/>
                                <w:sz w:val="20"/>
                                <w:szCs w:val="20"/>
                              </w:rPr>
                              <w:t xml:space="preserve"> 2.3.2 </w:t>
                            </w:r>
                            <w:r w:rsidRPr="00D92BC3">
                              <w:rPr>
                                <w:sz w:val="20"/>
                                <w:szCs w:val="20"/>
                              </w:rPr>
                              <w:t xml:space="preserve">– </w:t>
                            </w:r>
                            <w:r w:rsidRPr="00D92BC3">
                              <w:rPr>
                                <w:i/>
                                <w:sz w:val="20"/>
                                <w:szCs w:val="20"/>
                              </w:rPr>
                              <w:t>chiusura borse del 24 giugno 2016</w:t>
                            </w:r>
                          </w:p>
                          <w:p w:rsidR="00B63BAD" w:rsidRPr="00D92BC3" w:rsidRDefault="00B63BAD">
                            <w:pPr>
                              <w:rPr>
                                <w:i/>
                                <w:sz w:val="20"/>
                                <w:szCs w:val="20"/>
                              </w:rPr>
                            </w:pPr>
                            <w:r w:rsidRPr="00D92BC3">
                              <w:rPr>
                                <w:i/>
                                <w:sz w:val="20"/>
                                <w:szCs w:val="20"/>
                              </w:rPr>
                              <w:t>Fonte: Il Sole 24 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9.55pt;margin-top:40.95pt;width:450.75pt;height:283.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" strokecolor="white [3212]">
                <v:textbox>
                  <w:txbxContent>
                    <w:p w:rsidR="00B63BAD" w:rsidRPr="00D92BC3" w:rsidRDefault="00B63BAD">
                      <w:pPr>
                        <w:rPr>
                          <w:sz w:val="20"/>
                          <w:szCs w:val="20"/>
                        </w:rPr>
                      </w:pPr>
                      <w:r w:rsidRPr="00D92BC3">
                        <w:rPr>
                          <w:noProof/>
                          <w:sz w:val="20"/>
                          <w:szCs w:val="20"/>
                          <w:lang w:eastAsia="it-IT"/>
                        </w:rPr>
                        <w:drawing>
                          <wp:inline distT="0" distB="0" distL="0" distR="0">
                            <wp:extent cx="5619750" cy="2974592"/>
                            <wp:effectExtent l="0" t="0" r="0" b="0"/>
                            <wp:docPr id="42" name="Immagine 42" descr="D:\Università\Tesi\Immagini\FOTO-GRAFICO_borse-24-giugno-ore-18.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à\Tesi\Immagini\FOTO-GRAFICO_borse-24-giugno-ore-18.00-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5598" cy="2977687"/>
                                    </a:xfrm>
                                    <a:prstGeom prst="rect">
                                      <a:avLst/>
                                    </a:prstGeom>
                                    <a:noFill/>
                                    <a:ln>
                                      <a:noFill/>
                                    </a:ln>
                                  </pic:spPr>
                                </pic:pic>
                              </a:graphicData>
                            </a:graphic>
                          </wp:inline>
                        </w:drawing>
                      </w:r>
                    </w:p>
                    <w:p w:rsidR="00B63BAD" w:rsidRPr="00D92BC3" w:rsidRDefault="00B63BAD">
                      <w:pPr>
                        <w:rPr>
                          <w:i/>
                          <w:sz w:val="20"/>
                          <w:szCs w:val="20"/>
                        </w:rPr>
                      </w:pPr>
                      <w:r w:rsidRPr="00D92BC3">
                        <w:rPr>
                          <w:b/>
                          <w:sz w:val="20"/>
                          <w:szCs w:val="20"/>
                        </w:rPr>
                        <w:t xml:space="preserve">Fig 2.3.2 </w:t>
                      </w:r>
                      <w:r w:rsidRPr="00D92BC3">
                        <w:rPr>
                          <w:sz w:val="20"/>
                          <w:szCs w:val="20"/>
                        </w:rPr>
                        <w:t xml:space="preserve">– </w:t>
                      </w:r>
                      <w:r w:rsidRPr="00D92BC3">
                        <w:rPr>
                          <w:i/>
                          <w:sz w:val="20"/>
                          <w:szCs w:val="20"/>
                        </w:rPr>
                        <w:t>chiusura borse del 24 giugno 2016</w:t>
                      </w:r>
                    </w:p>
                    <w:p w:rsidR="00B63BAD" w:rsidRPr="00D92BC3" w:rsidRDefault="00B63BAD">
                      <w:pPr>
                        <w:rPr>
                          <w:i/>
                          <w:sz w:val="20"/>
                          <w:szCs w:val="20"/>
                        </w:rPr>
                      </w:pPr>
                      <w:r w:rsidRPr="00D92BC3">
                        <w:rPr>
                          <w:i/>
                          <w:sz w:val="20"/>
                          <w:szCs w:val="20"/>
                        </w:rPr>
                        <w:t>Fonte: Il Sole 24 Ore</w:t>
                      </w:r>
                    </w:p>
                  </w:txbxContent>
                </v:textbox>
                <w10:wrap type="square" anchorx="margin"/>
              </v:shape>
            </w:pict>
          </mc:Fallback>
        </mc:AlternateContent>
      </w:r>
      <w:r w:rsidR="001C4594" w:rsidRPr="00665924">
        <w:rPr>
          <w:rFonts w:cs="Times New Roman"/>
          <w:sz w:val="24"/>
        </w:rPr>
        <w:t>essere rivalutata, provocando un danno economico in Giappone.</w:t>
      </w:r>
    </w:p>
    <w:p w:rsidR="001C4594" w:rsidRPr="00665924" w:rsidRDefault="001C4594" w:rsidP="00665924">
      <w:pPr>
        <w:spacing w:line="360" w:lineRule="auto"/>
        <w:ind w:firstLine="397"/>
        <w:jc w:val="both"/>
        <w:rPr>
          <w:rFonts w:cs="Times New Roman"/>
          <w:sz w:val="24"/>
        </w:rPr>
      </w:pPr>
      <w:r w:rsidRPr="00665924">
        <w:rPr>
          <w:rFonts w:cs="Times New Roman"/>
          <w:sz w:val="24"/>
        </w:rPr>
        <w:t>Possiamo vedere come effetto opposto quello dell’Inghilterra: la borsa inglese chiude il 24 giugno con un relativamente ottimo -3,12% rispetto alle altre borse europee. La causa di questo “miracolo” è il deprezzamento della sterlina che ha aiutato le aziende inglesi per le quali l’export è una voce importante all’interno del bilancio.</w:t>
      </w:r>
    </w:p>
    <w:p w:rsidR="00F91D48" w:rsidRPr="00665924" w:rsidRDefault="001C4594" w:rsidP="00665924">
      <w:pPr>
        <w:spacing w:line="360" w:lineRule="auto"/>
        <w:ind w:firstLine="397"/>
        <w:jc w:val="both"/>
        <w:rPr>
          <w:rFonts w:cs="Times New Roman"/>
          <w:sz w:val="24"/>
        </w:rPr>
      </w:pPr>
      <w:r w:rsidRPr="00665924">
        <w:rPr>
          <w:rFonts w:cs="Times New Roman"/>
          <w:sz w:val="24"/>
        </w:rPr>
        <w:t xml:space="preserve">Una domanda sorge spontanea: perché i paesi </w:t>
      </w:r>
      <w:r w:rsidR="00286210" w:rsidRPr="00665924">
        <w:rPr>
          <w:rFonts w:cs="Times New Roman"/>
          <w:sz w:val="24"/>
        </w:rPr>
        <w:t>del sud Europa hanno visto una borsa in caduta libera? Semplice: le attività liquidate per il rimborso dei prestiti sono proprio azioni del bacino mediterraneo, considerate più a rischio rispetto alle sorelle dell’entroterra e</w:t>
      </w:r>
      <w:r w:rsidR="00100D26">
        <w:rPr>
          <w:rFonts w:cs="Times New Roman"/>
          <w:sz w:val="24"/>
        </w:rPr>
        <w:t>,</w:t>
      </w:r>
      <w:r w:rsidR="00286210" w:rsidRPr="00665924">
        <w:rPr>
          <w:rFonts w:cs="Times New Roman"/>
          <w:sz w:val="24"/>
        </w:rPr>
        <w:t xml:space="preserve"> quindi</w:t>
      </w:r>
      <w:r w:rsidR="00100D26">
        <w:rPr>
          <w:rFonts w:cs="Times New Roman"/>
          <w:sz w:val="24"/>
        </w:rPr>
        <w:t>,</w:t>
      </w:r>
      <w:r w:rsidR="00286210" w:rsidRPr="00665924">
        <w:rPr>
          <w:rFonts w:cs="Times New Roman"/>
          <w:sz w:val="24"/>
        </w:rPr>
        <w:t xml:space="preserve"> liquidabili in via preferenziale.</w:t>
      </w:r>
    </w:p>
    <w:p w:rsidR="00253B53" w:rsidRPr="00665924" w:rsidRDefault="001E29F4" w:rsidP="00665924">
      <w:pPr>
        <w:spacing w:line="360" w:lineRule="auto"/>
        <w:ind w:firstLine="397"/>
        <w:jc w:val="both"/>
        <w:rPr>
          <w:rFonts w:cs="Times New Roman"/>
          <w:sz w:val="24"/>
        </w:rPr>
      </w:pPr>
      <w:r w:rsidRPr="00665924">
        <w:rPr>
          <w:rFonts w:cs="Times New Roman"/>
          <w:sz w:val="24"/>
        </w:rPr>
        <w:t>Risultato globale: 411 miliardi bruciati in un giorno</w:t>
      </w:r>
      <w:r w:rsidRPr="00665924">
        <w:rPr>
          <w:rStyle w:val="Rimandonotaapidipagina"/>
          <w:rFonts w:cs="Times New Roman"/>
          <w:sz w:val="24"/>
        </w:rPr>
        <w:footnoteReference w:id="9"/>
      </w:r>
      <w:r w:rsidR="00F82319" w:rsidRPr="00665924">
        <w:rPr>
          <w:rFonts w:cs="Times New Roman"/>
          <w:sz w:val="24"/>
        </w:rPr>
        <w:t>.</w:t>
      </w:r>
    </w:p>
    <w:p w:rsidR="006930E1" w:rsidRDefault="006930E1">
      <w:pPr>
        <w:rPr>
          <w:rFonts w:cs="Times New Roman"/>
          <w:sz w:val="24"/>
        </w:rPr>
      </w:pPr>
      <w:r>
        <w:rPr>
          <w:rFonts w:cs="Times New Roman"/>
          <w:sz w:val="24"/>
        </w:rPr>
        <w:br w:type="page"/>
      </w:r>
    </w:p>
    <w:p w:rsidR="00B65F6A" w:rsidRDefault="00B65F6A" w:rsidP="002A08E8">
      <w:pPr>
        <w:pStyle w:val="Titolo2"/>
        <w:numPr>
          <w:ilvl w:val="1"/>
          <w:numId w:val="3"/>
        </w:numPr>
        <w:spacing w:line="360" w:lineRule="auto"/>
      </w:pPr>
      <w:bookmarkStart w:id="15" w:name="_Toc475559361"/>
      <w:proofErr w:type="spellStart"/>
      <w:r w:rsidRPr="00B65F6A">
        <w:lastRenderedPageBreak/>
        <w:t>Bank</w:t>
      </w:r>
      <w:proofErr w:type="spellEnd"/>
      <w:r w:rsidRPr="00B65F6A">
        <w:t xml:space="preserve"> of </w:t>
      </w:r>
      <w:proofErr w:type="spellStart"/>
      <w:r w:rsidRPr="00B65F6A">
        <w:t>England</w:t>
      </w:r>
      <w:proofErr w:type="spellEnd"/>
      <w:r w:rsidRPr="00B65F6A">
        <w:t xml:space="preserve"> e la sua politica monetaria</w:t>
      </w:r>
      <w:bookmarkEnd w:id="15"/>
    </w:p>
    <w:p w:rsidR="0017315A" w:rsidRPr="0017315A" w:rsidRDefault="0017315A" w:rsidP="0017315A"/>
    <w:p w:rsidR="00CA0ABA" w:rsidRPr="00CA0ABA" w:rsidRDefault="00CA0ABA" w:rsidP="002A08E8">
      <w:pPr>
        <w:spacing w:line="360" w:lineRule="auto"/>
        <w:ind w:left="567" w:right="567" w:firstLine="397"/>
        <w:jc w:val="both"/>
        <w:rPr>
          <w:rFonts w:cs="Times New Roman"/>
          <w:i/>
          <w:sz w:val="20"/>
          <w:lang w:val="en-US"/>
        </w:rPr>
      </w:pPr>
      <w:r w:rsidRPr="00CA0ABA">
        <w:rPr>
          <w:rFonts w:cs="Times New Roman"/>
          <w:i/>
          <w:sz w:val="20"/>
          <w:lang w:val="en-US"/>
        </w:rPr>
        <w:t>“As a backstop, and to support the functioning of markets, the Bank of England stands ready to provide more than £250 billion [$460 billion] of additional funds through its normal facilities.”</w:t>
      </w:r>
      <w:r>
        <w:rPr>
          <w:rStyle w:val="Rimandonotaapidipagina"/>
          <w:rFonts w:cs="Times New Roman"/>
          <w:i/>
          <w:sz w:val="20"/>
          <w:lang w:val="en-US"/>
        </w:rPr>
        <w:footnoteReference w:id="10"/>
      </w:r>
    </w:p>
    <w:p w:rsidR="00CA0ABA" w:rsidRDefault="00CA0ABA" w:rsidP="00CA0ABA">
      <w:pPr>
        <w:spacing w:line="360" w:lineRule="auto"/>
        <w:ind w:firstLine="397"/>
        <w:jc w:val="both"/>
        <w:rPr>
          <w:rFonts w:cs="Times New Roman"/>
          <w:sz w:val="24"/>
        </w:rPr>
      </w:pPr>
      <w:r w:rsidRPr="00CA0ABA">
        <w:rPr>
          <w:rFonts w:cs="Times New Roman"/>
          <w:sz w:val="24"/>
        </w:rPr>
        <w:t xml:space="preserve">Queste sono state le parole di Mark </w:t>
      </w:r>
      <w:proofErr w:type="spellStart"/>
      <w:r>
        <w:rPr>
          <w:rFonts w:cs="Times New Roman"/>
          <w:sz w:val="24"/>
        </w:rPr>
        <w:t>Carney</w:t>
      </w:r>
      <w:proofErr w:type="spellEnd"/>
      <w:r>
        <w:rPr>
          <w:rFonts w:cs="Times New Roman"/>
          <w:sz w:val="24"/>
        </w:rPr>
        <w:t xml:space="preserve">, governatore della </w:t>
      </w:r>
      <w:proofErr w:type="spellStart"/>
      <w:r>
        <w:rPr>
          <w:rFonts w:cs="Times New Roman"/>
          <w:sz w:val="24"/>
        </w:rPr>
        <w:t>Bank</w:t>
      </w:r>
      <w:proofErr w:type="spellEnd"/>
      <w:r>
        <w:rPr>
          <w:rFonts w:cs="Times New Roman"/>
          <w:sz w:val="24"/>
        </w:rPr>
        <w:t xml:space="preserve"> of </w:t>
      </w:r>
      <w:proofErr w:type="spellStart"/>
      <w:r>
        <w:rPr>
          <w:rFonts w:cs="Times New Roman"/>
          <w:sz w:val="24"/>
        </w:rPr>
        <w:t>England</w:t>
      </w:r>
      <w:proofErr w:type="spellEnd"/>
      <w:r>
        <w:rPr>
          <w:rFonts w:cs="Times New Roman"/>
          <w:sz w:val="24"/>
        </w:rPr>
        <w:t xml:space="preserve">, all’indomani del referendum. </w:t>
      </w:r>
      <w:r w:rsidR="00ED3036">
        <w:rPr>
          <w:rFonts w:cs="Times New Roman"/>
          <w:sz w:val="24"/>
        </w:rPr>
        <w:t xml:space="preserve">Il perché di questa decisione di aumento del programma di quantitative </w:t>
      </w:r>
      <w:proofErr w:type="spellStart"/>
      <w:r w:rsidR="00ED3036">
        <w:rPr>
          <w:rFonts w:cs="Times New Roman"/>
          <w:sz w:val="24"/>
        </w:rPr>
        <w:t>easing</w:t>
      </w:r>
      <w:proofErr w:type="spellEnd"/>
      <w:r w:rsidR="00ED3036">
        <w:rPr>
          <w:rFonts w:cs="Times New Roman"/>
          <w:sz w:val="24"/>
        </w:rPr>
        <w:t xml:space="preserve"> già predisposto è da ricercare nel paragrafo precedente; sappiamo infatti che una maggior quantità di moneta porta una diminuzione dei cambi con le altre valute e, quindi, una maggiore attrattività per gli investitori stranieri ad investire o acquistare sul territorio inglese.</w:t>
      </w:r>
      <w:r w:rsidR="00100D26">
        <w:rPr>
          <w:rFonts w:cs="Times New Roman"/>
          <w:sz w:val="24"/>
        </w:rPr>
        <w:t xml:space="preserve"> </w:t>
      </w:r>
    </w:p>
    <w:p w:rsidR="00ED3036" w:rsidRDefault="00ED3036" w:rsidP="00CA0ABA">
      <w:pPr>
        <w:spacing w:line="360" w:lineRule="auto"/>
        <w:ind w:firstLine="397"/>
        <w:jc w:val="both"/>
        <w:rPr>
          <w:rFonts w:cs="Times New Roman"/>
          <w:sz w:val="24"/>
        </w:rPr>
      </w:pPr>
      <w:r>
        <w:rPr>
          <w:rFonts w:cs="Times New Roman"/>
          <w:sz w:val="24"/>
        </w:rPr>
        <w:t xml:space="preserve">Non è però certo che questa politica monetaria rimanga invariata nel tempo. È stato precisato che l’evoluzione delle decisioni della </w:t>
      </w:r>
      <w:proofErr w:type="spellStart"/>
      <w:r>
        <w:rPr>
          <w:rFonts w:cs="Times New Roman"/>
          <w:sz w:val="24"/>
        </w:rPr>
        <w:t>BoE</w:t>
      </w:r>
      <w:proofErr w:type="spellEnd"/>
      <w:r>
        <w:rPr>
          <w:rFonts w:cs="Times New Roman"/>
          <w:sz w:val="24"/>
        </w:rPr>
        <w:t xml:space="preserve"> è influenzata dalla bilancia commerciale, i cambi e, soprattutto, dall’inflazione, lontana da</w:t>
      </w:r>
      <w:r w:rsidR="00462528">
        <w:rPr>
          <w:rFonts w:cs="Times New Roman"/>
          <w:sz w:val="24"/>
        </w:rPr>
        <w:t>l target del 2% da 3 anni eppure vista con il timore di un superamento eccessivo di questa soglia ideale.</w:t>
      </w:r>
    </w:p>
    <w:p w:rsidR="003636BE" w:rsidRDefault="003636BE" w:rsidP="00CA0ABA">
      <w:pPr>
        <w:spacing w:line="360" w:lineRule="auto"/>
        <w:ind w:firstLine="397"/>
        <w:jc w:val="both"/>
        <w:rPr>
          <w:rFonts w:cs="Times New Roman"/>
          <w:sz w:val="24"/>
        </w:rPr>
      </w:pPr>
      <w:r>
        <w:rPr>
          <w:rFonts w:cs="Times New Roman"/>
          <w:sz w:val="24"/>
        </w:rPr>
        <w:t xml:space="preserve">Seconda arma a disposizione della </w:t>
      </w:r>
      <w:proofErr w:type="spellStart"/>
      <w:r>
        <w:rPr>
          <w:rFonts w:cs="Times New Roman"/>
          <w:sz w:val="24"/>
        </w:rPr>
        <w:t>BoE</w:t>
      </w:r>
      <w:proofErr w:type="spellEnd"/>
      <w:r>
        <w:rPr>
          <w:rFonts w:cs="Times New Roman"/>
          <w:sz w:val="24"/>
        </w:rPr>
        <w:t xml:space="preserve"> è la modifica dei tassi d’interesse, ridotti a 0.25% nella speranza</w:t>
      </w:r>
      <w:r>
        <w:rPr>
          <w:rFonts w:cs="Times New Roman"/>
          <w:sz w:val="24"/>
        </w:rPr>
        <w:tab/>
        <w:t>di favorire la circolazione della sterlina ma, purtroppo, questa mossa è messa in scacco dalla contrazione degli stipendi e dall’inflazione in aumento il cui effetto sarà, probabilmente, di ridurre i budget domestici e la spesa del prossimo anno.</w:t>
      </w:r>
    </w:p>
    <w:p w:rsidR="00462528" w:rsidRDefault="00F841C4" w:rsidP="00CA0ABA">
      <w:pPr>
        <w:spacing w:line="360" w:lineRule="auto"/>
        <w:ind w:firstLine="397"/>
        <w:jc w:val="both"/>
        <w:rPr>
          <w:rFonts w:cs="Times New Roman"/>
          <w:sz w:val="24"/>
        </w:rPr>
      </w:pPr>
      <w:r>
        <w:rPr>
          <w:rFonts w:cs="Times New Roman"/>
          <w:sz w:val="24"/>
        </w:rPr>
        <w:t xml:space="preserve">In ultima istanza, la </w:t>
      </w:r>
      <w:proofErr w:type="spellStart"/>
      <w:r>
        <w:rPr>
          <w:rFonts w:cs="Times New Roman"/>
          <w:sz w:val="24"/>
        </w:rPr>
        <w:t>BoE</w:t>
      </w:r>
      <w:proofErr w:type="spellEnd"/>
      <w:r>
        <w:rPr>
          <w:rFonts w:cs="Times New Roman"/>
          <w:sz w:val="24"/>
        </w:rPr>
        <w:t xml:space="preserve"> non è l’unica forza in movimento attualmente poiché che BCE, Fed e </w:t>
      </w:r>
      <w:proofErr w:type="spellStart"/>
      <w:r>
        <w:rPr>
          <w:rFonts w:cs="Times New Roman"/>
          <w:sz w:val="24"/>
        </w:rPr>
        <w:t>BoJ</w:t>
      </w:r>
      <w:proofErr w:type="spellEnd"/>
      <w:r>
        <w:rPr>
          <w:rFonts w:cs="Times New Roman"/>
          <w:sz w:val="24"/>
        </w:rPr>
        <w:t xml:space="preserve"> hanno annunciato misure per il 2017:</w:t>
      </w:r>
    </w:p>
    <w:p w:rsidR="00F841C4" w:rsidRDefault="00F841C4" w:rsidP="00F841C4">
      <w:pPr>
        <w:pStyle w:val="Paragrafoelenco"/>
        <w:numPr>
          <w:ilvl w:val="0"/>
          <w:numId w:val="13"/>
        </w:numPr>
        <w:spacing w:line="360" w:lineRule="auto"/>
        <w:jc w:val="both"/>
        <w:rPr>
          <w:rFonts w:cs="Times New Roman"/>
          <w:sz w:val="24"/>
        </w:rPr>
      </w:pPr>
      <w:r>
        <w:rPr>
          <w:rFonts w:cs="Times New Roman"/>
          <w:sz w:val="24"/>
        </w:rPr>
        <w:t>Per la Fed sono previsti dei rialzi dei tassi d’interesse in base all’andamento dell’inflazione americana;</w:t>
      </w:r>
    </w:p>
    <w:p w:rsidR="00F841C4" w:rsidRDefault="00F841C4" w:rsidP="00F841C4">
      <w:pPr>
        <w:pStyle w:val="Paragrafoelenco"/>
        <w:numPr>
          <w:ilvl w:val="0"/>
          <w:numId w:val="13"/>
        </w:numPr>
        <w:spacing w:line="360" w:lineRule="auto"/>
        <w:jc w:val="both"/>
        <w:rPr>
          <w:rFonts w:cs="Times New Roman"/>
          <w:sz w:val="24"/>
        </w:rPr>
      </w:pPr>
      <w:r>
        <w:rPr>
          <w:rFonts w:cs="Times New Roman"/>
          <w:sz w:val="24"/>
        </w:rPr>
        <w:t>La BCE ha esteso il QE ma, a partire da aprile, una diminuzione degli acquisti mensili da 80 a 60 miliardi di €</w:t>
      </w:r>
      <w:r w:rsidR="00350356">
        <w:rPr>
          <w:rFonts w:cs="Times New Roman"/>
          <w:sz w:val="24"/>
        </w:rPr>
        <w:t>;</w:t>
      </w:r>
    </w:p>
    <w:p w:rsidR="00350356" w:rsidRDefault="00350356" w:rsidP="00F841C4">
      <w:pPr>
        <w:pStyle w:val="Paragrafoelenco"/>
        <w:numPr>
          <w:ilvl w:val="0"/>
          <w:numId w:val="13"/>
        </w:numPr>
        <w:spacing w:line="360" w:lineRule="auto"/>
        <w:jc w:val="both"/>
        <w:rPr>
          <w:rFonts w:cs="Times New Roman"/>
          <w:sz w:val="24"/>
        </w:rPr>
      </w:pPr>
      <w:r>
        <w:rPr>
          <w:rFonts w:cs="Times New Roman"/>
          <w:sz w:val="24"/>
        </w:rPr>
        <w:t xml:space="preserve">La </w:t>
      </w:r>
      <w:proofErr w:type="spellStart"/>
      <w:r>
        <w:rPr>
          <w:rFonts w:cs="Times New Roman"/>
          <w:sz w:val="24"/>
        </w:rPr>
        <w:t>BoJ</w:t>
      </w:r>
      <w:proofErr w:type="spellEnd"/>
      <w:r>
        <w:rPr>
          <w:rFonts w:cs="Times New Roman"/>
          <w:sz w:val="24"/>
        </w:rPr>
        <w:t xml:space="preserve"> si è prefissata il raggiungimento del 2% di inflazione e, poiché i tassi d’interesse sono storicamente bassi, l’acquisto dei titoli di Stato a 10 anni per il controllo del loro rendimento.</w:t>
      </w:r>
    </w:p>
    <w:p w:rsidR="00C51316" w:rsidRDefault="0079374E" w:rsidP="0079374E">
      <w:pPr>
        <w:spacing w:line="360" w:lineRule="auto"/>
        <w:ind w:firstLine="397"/>
        <w:jc w:val="both"/>
        <w:rPr>
          <w:rFonts w:cs="Times New Roman"/>
          <w:sz w:val="24"/>
        </w:rPr>
      </w:pPr>
      <w:r>
        <w:rPr>
          <w:rFonts w:cs="Times New Roman"/>
          <w:sz w:val="24"/>
        </w:rPr>
        <w:t xml:space="preserve">L’Inghilterra necessita di rimanere competitiva all’interno del mercato mondiale e, inoltre, deve paventare la possibilità di una recessione interna causata dalla contrazione della spesa </w:t>
      </w:r>
      <w:r>
        <w:rPr>
          <w:rFonts w:cs="Times New Roman"/>
          <w:sz w:val="24"/>
        </w:rPr>
        <w:lastRenderedPageBreak/>
        <w:t>domestica. Proprio per questo l’inflazione è vista come una delle prime necessità inglesi, la possibilità di un periodo deflazionistico potrebbe portare al collasso interno della Gran Bretagna molto prima dei rischi legati all’isolamento.</w:t>
      </w:r>
      <w:r w:rsidR="00C51316">
        <w:rPr>
          <w:rFonts w:cs="Times New Roman"/>
          <w:sz w:val="24"/>
        </w:rPr>
        <w:br w:type="page"/>
      </w:r>
    </w:p>
    <w:p w:rsidR="00015E4C" w:rsidRDefault="00310DA2" w:rsidP="00487F95">
      <w:pPr>
        <w:pStyle w:val="Titolo2"/>
        <w:numPr>
          <w:ilvl w:val="1"/>
          <w:numId w:val="3"/>
        </w:numPr>
        <w:spacing w:line="360" w:lineRule="auto"/>
      </w:pPr>
      <w:bookmarkStart w:id="16" w:name="_Toc475559362"/>
      <w:r>
        <w:lastRenderedPageBreak/>
        <w:t>La bilancia dei pagamenti (</w:t>
      </w:r>
      <w:proofErr w:type="spellStart"/>
      <w:r>
        <w:t>BoP</w:t>
      </w:r>
      <w:proofErr w:type="spellEnd"/>
      <w:r>
        <w:t>) inglese</w:t>
      </w:r>
      <w:r w:rsidR="00487F95">
        <w:rPr>
          <w:rStyle w:val="Rimandonotaapidipagina"/>
        </w:rPr>
        <w:footnoteReference w:id="11"/>
      </w:r>
      <w:bookmarkEnd w:id="16"/>
    </w:p>
    <w:p w:rsidR="0017315A" w:rsidRPr="0017315A" w:rsidRDefault="0017315A" w:rsidP="0017315A"/>
    <w:p w:rsidR="00FB2FB7" w:rsidRDefault="00FB2FB7" w:rsidP="00487F95">
      <w:pPr>
        <w:spacing w:line="360" w:lineRule="auto"/>
        <w:ind w:firstLine="397"/>
        <w:jc w:val="both"/>
        <w:rPr>
          <w:rFonts w:cs="Times New Roman"/>
          <w:sz w:val="24"/>
        </w:rPr>
      </w:pPr>
      <w:r>
        <w:rPr>
          <w:rFonts w:cs="Times New Roman"/>
          <w:sz w:val="24"/>
        </w:rPr>
        <w:t xml:space="preserve">Prima di iniziare l’analisi della Bilancia dei pagamenti inglese (Balance of </w:t>
      </w:r>
      <w:proofErr w:type="spellStart"/>
      <w:r>
        <w:rPr>
          <w:rFonts w:cs="Times New Roman"/>
          <w:sz w:val="24"/>
        </w:rPr>
        <w:t>Payments</w:t>
      </w:r>
      <w:proofErr w:type="spellEnd"/>
      <w:r>
        <w:rPr>
          <w:rFonts w:cs="Times New Roman"/>
          <w:sz w:val="24"/>
        </w:rPr>
        <w:t>), urge prima definirne le parti in modo da evitare possibili errori di analisi o comprensione.</w:t>
      </w:r>
    </w:p>
    <w:p w:rsidR="00FB2FB7" w:rsidRPr="00420B6D" w:rsidRDefault="00FB2FB7" w:rsidP="00FB2FB7">
      <w:pPr>
        <w:spacing w:line="360" w:lineRule="auto"/>
        <w:ind w:left="567" w:right="567" w:firstLine="397"/>
        <w:jc w:val="both"/>
        <w:rPr>
          <w:rFonts w:cs="Times New Roman"/>
          <w:i/>
          <w:sz w:val="20"/>
        </w:rPr>
      </w:pPr>
      <w:r w:rsidRPr="00D21DA3">
        <w:rPr>
          <w:rFonts w:cs="Times New Roman"/>
          <w:i/>
          <w:sz w:val="20"/>
        </w:rPr>
        <w:t xml:space="preserve">“La bilancia dei pagamenti è uno schema contabile che registra le transazioni tra i residenti in un’economia e i non residenti, in un dato periodo di tempo. </w:t>
      </w:r>
      <w:r w:rsidRPr="00D5402A">
        <w:rPr>
          <w:rFonts w:cs="Times New Roman"/>
          <w:i/>
          <w:sz w:val="20"/>
        </w:rPr>
        <w:t xml:space="preserve">Una transazione è un’interazione tra due entità istituzionali che avviene per mutuo consenso o per legge e comporta, tipicamente, uno scambio di valori (beni, servizi, diritti, attività finanziarie) o, in alcuni casi, il loro trasferimento senza contropartita.” </w:t>
      </w:r>
      <w:r w:rsidRPr="00420B6D">
        <w:rPr>
          <w:rFonts w:cs="Times New Roman"/>
          <w:i/>
          <w:sz w:val="20"/>
        </w:rPr>
        <w:t>(Fonte: Banca d’Italia)</w:t>
      </w:r>
    </w:p>
    <w:p w:rsidR="0004386D" w:rsidRDefault="00FB2FB7" w:rsidP="00FB2FB7">
      <w:pPr>
        <w:spacing w:line="360" w:lineRule="auto"/>
        <w:ind w:firstLine="397"/>
        <w:jc w:val="both"/>
        <w:rPr>
          <w:rFonts w:cs="Times New Roman"/>
          <w:sz w:val="24"/>
        </w:rPr>
      </w:pPr>
      <w:r w:rsidRPr="00FB2FB7">
        <w:rPr>
          <w:rFonts w:cs="Times New Roman"/>
          <w:sz w:val="24"/>
        </w:rPr>
        <w:t xml:space="preserve"> </w:t>
      </w:r>
      <w:r w:rsidR="00420B6D">
        <w:rPr>
          <w:rFonts w:cs="Times New Roman"/>
          <w:sz w:val="24"/>
        </w:rPr>
        <w:t>La bilancia dei pagamenti ha quindi come oggetto le “transazioni” e non i “pagamenti”. Questa distinzione serve a chiarire che i valori non vengono considerati solo in funzione dei corrispettivi in denaro ma per i trasferimenti di proprietà.</w:t>
      </w:r>
      <w:r w:rsidR="0004386D">
        <w:rPr>
          <w:rFonts w:cs="Times New Roman"/>
          <w:sz w:val="24"/>
        </w:rPr>
        <w:t xml:space="preserve"> La bilancia dei pagamenti è ulteriormente divisa in:</w:t>
      </w:r>
    </w:p>
    <w:p w:rsidR="0004386D" w:rsidRDefault="0004386D" w:rsidP="0004386D">
      <w:pPr>
        <w:pStyle w:val="Paragrafoelenco"/>
        <w:numPr>
          <w:ilvl w:val="0"/>
          <w:numId w:val="15"/>
        </w:numPr>
        <w:spacing w:line="360" w:lineRule="auto"/>
        <w:jc w:val="both"/>
        <w:rPr>
          <w:rFonts w:cs="Times New Roman"/>
          <w:sz w:val="24"/>
        </w:rPr>
      </w:pPr>
      <w:r>
        <w:rPr>
          <w:rFonts w:cs="Times New Roman"/>
          <w:sz w:val="24"/>
        </w:rPr>
        <w:t>Conto corrente: mostra i flussi di beni, servizi e redditi (suddivisi in primari e secondari) tra residenti e non residenti;</w:t>
      </w:r>
    </w:p>
    <w:p w:rsidR="0004386D" w:rsidRDefault="0004386D" w:rsidP="0004386D">
      <w:pPr>
        <w:pStyle w:val="Paragrafoelenco"/>
        <w:numPr>
          <w:ilvl w:val="0"/>
          <w:numId w:val="15"/>
        </w:numPr>
        <w:spacing w:line="360" w:lineRule="auto"/>
        <w:jc w:val="both"/>
        <w:rPr>
          <w:rFonts w:cs="Times New Roman"/>
          <w:sz w:val="24"/>
        </w:rPr>
      </w:pPr>
      <w:r>
        <w:rPr>
          <w:rFonts w:cs="Times New Roman"/>
          <w:sz w:val="24"/>
        </w:rPr>
        <w:t>Conto capitale: riporta i flussi di attività non prodotte non finanziarie e i trasferimenti in conto capitale;</w:t>
      </w:r>
    </w:p>
    <w:p w:rsidR="0004386D" w:rsidRDefault="0004386D" w:rsidP="0004386D">
      <w:pPr>
        <w:pStyle w:val="Paragrafoelenco"/>
        <w:numPr>
          <w:ilvl w:val="0"/>
          <w:numId w:val="15"/>
        </w:numPr>
        <w:spacing w:line="360" w:lineRule="auto"/>
        <w:jc w:val="both"/>
        <w:rPr>
          <w:rFonts w:cs="Times New Roman"/>
          <w:sz w:val="24"/>
        </w:rPr>
      </w:pPr>
      <w:r>
        <w:rPr>
          <w:rFonts w:cs="Times New Roman"/>
          <w:sz w:val="24"/>
        </w:rPr>
        <w:t>Conto finanziario: presenta le acquisizioni e le vendite nette di attività e passività finanziarie e include anche le transazioni in terreni, immobili di proprietà e altri beni immobili.</w:t>
      </w:r>
    </w:p>
    <w:p w:rsidR="00D21DA3" w:rsidRDefault="0004386D" w:rsidP="0004386D">
      <w:pPr>
        <w:spacing w:line="360" w:lineRule="auto"/>
        <w:ind w:firstLine="397"/>
        <w:jc w:val="both"/>
        <w:rPr>
          <w:rFonts w:cs="Times New Roman"/>
          <w:sz w:val="24"/>
        </w:rPr>
      </w:pPr>
      <w:r>
        <w:rPr>
          <w:rFonts w:cs="Times New Roman"/>
          <w:sz w:val="24"/>
        </w:rPr>
        <w:t>La somma dei saldi del conto corrente e del conto capitale coincide con il risultato netto (avanzo) o l’indebitamento netto (disavanzo) di un’economia nei confronti del resto del mondo.</w:t>
      </w:r>
    </w:p>
    <w:p w:rsidR="00431B8C" w:rsidRDefault="00431B8C">
      <w:pPr>
        <w:rPr>
          <w:rFonts w:asciiTheme="majorHAnsi" w:eastAsiaTheme="majorEastAsia" w:hAnsiTheme="majorHAnsi" w:cstheme="majorBidi"/>
          <w:color w:val="0D0D0D" w:themeColor="text1" w:themeTint="F2"/>
          <w:sz w:val="24"/>
          <w:szCs w:val="24"/>
        </w:rPr>
      </w:pPr>
      <w:r>
        <w:br w:type="page"/>
      </w:r>
    </w:p>
    <w:p w:rsidR="004A2CD6" w:rsidRDefault="005609E4" w:rsidP="005609E4">
      <w:pPr>
        <w:pStyle w:val="Titolo3"/>
        <w:numPr>
          <w:ilvl w:val="2"/>
          <w:numId w:val="3"/>
        </w:numPr>
        <w:spacing w:line="360" w:lineRule="auto"/>
      </w:pPr>
      <w:bookmarkStart w:id="17" w:name="_Toc475559363"/>
      <w:r>
        <w:lastRenderedPageBreak/>
        <w:t>Conto corrente</w:t>
      </w:r>
      <w:bookmarkEnd w:id="17"/>
    </w:p>
    <w:p w:rsidR="0017315A" w:rsidRPr="0017315A" w:rsidRDefault="0017315A" w:rsidP="0017315A"/>
    <w:p w:rsidR="0017315A" w:rsidRDefault="00431B8C" w:rsidP="0017315A">
      <w:pPr>
        <w:spacing w:line="360" w:lineRule="auto"/>
        <w:ind w:firstLine="397"/>
        <w:jc w:val="both"/>
        <w:rPr>
          <w:b/>
          <w:sz w:val="20"/>
        </w:rPr>
      </w:pPr>
      <w:r w:rsidRPr="00135068">
        <w:rPr>
          <w:rFonts w:cs="Times New Roman"/>
          <w:noProof/>
          <w:sz w:val="24"/>
          <w:lang w:eastAsia="it-IT"/>
        </w:rPr>
        <mc:AlternateContent>
          <mc:Choice Requires="wps">
            <w:drawing>
              <wp:anchor distT="45720" distB="45720" distL="114300" distR="114300" simplePos="0" relativeHeight="251699200" behindDoc="0" locked="0" layoutInCell="1" allowOverlap="1" wp14:anchorId="45BD4766" wp14:editId="0968EA00">
                <wp:simplePos x="0" y="0"/>
                <wp:positionH relativeFrom="margin">
                  <wp:align>left</wp:align>
                </wp:positionH>
                <wp:positionV relativeFrom="paragraph">
                  <wp:posOffset>556895</wp:posOffset>
                </wp:positionV>
                <wp:extent cx="5758180" cy="3265170"/>
                <wp:effectExtent l="0" t="0" r="13970" b="11430"/>
                <wp:wrapSquare wrapText="bothSides"/>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3265170"/>
                        </a:xfrm>
                        <a:prstGeom prst="rect">
                          <a:avLst/>
                        </a:prstGeom>
                        <a:solidFill>
                          <a:srgbClr val="FFFFFF"/>
                        </a:solidFill>
                        <a:ln w="9525">
                          <a:solidFill>
                            <a:schemeClr val="bg1"/>
                          </a:solidFill>
                          <a:miter lim="800000"/>
                          <a:headEnd/>
                          <a:tailEnd/>
                        </a:ln>
                      </wps:spPr>
                      <wps:txbx>
                        <w:txbxContent>
                          <w:p w:rsidR="00B63BAD" w:rsidRPr="00135068" w:rsidRDefault="00B63BAD" w:rsidP="00431B8C">
                            <w:pPr>
                              <w:rPr>
                                <w:sz w:val="20"/>
                              </w:rPr>
                            </w:pPr>
                            <w:r w:rsidRPr="00135068">
                              <w:rPr>
                                <w:noProof/>
                                <w:sz w:val="20"/>
                                <w:lang w:eastAsia="it-IT"/>
                              </w:rPr>
                              <w:drawing>
                                <wp:inline distT="0" distB="0" distL="0" distR="0" wp14:anchorId="4414C6E0" wp14:editId="6C1E4B93">
                                  <wp:extent cx="5612765" cy="2841172"/>
                                  <wp:effectExtent l="0" t="0" r="6985" b="16510"/>
                                  <wp:docPr id="60" name="Grafico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63BAD" w:rsidRPr="00135068" w:rsidRDefault="00B63BAD" w:rsidP="00431B8C">
                            <w:pPr>
                              <w:rPr>
                                <w:sz w:val="20"/>
                              </w:rPr>
                            </w:pPr>
                            <w:proofErr w:type="spellStart"/>
                            <w:r>
                              <w:rPr>
                                <w:b/>
                                <w:sz w:val="20"/>
                              </w:rPr>
                              <w:t>Fig</w:t>
                            </w:r>
                            <w:proofErr w:type="spellEnd"/>
                            <w:r w:rsidRPr="00135068">
                              <w:rPr>
                                <w:b/>
                                <w:sz w:val="20"/>
                              </w:rPr>
                              <w:t xml:space="preserve"> 2.5.1</w:t>
                            </w:r>
                            <w:r>
                              <w:rPr>
                                <w:b/>
                                <w:sz w:val="20"/>
                              </w:rPr>
                              <w:t>.1</w:t>
                            </w:r>
                            <w:r w:rsidRPr="00135068">
                              <w:rPr>
                                <w:sz w:val="20"/>
                              </w:rPr>
                              <w:t xml:space="preserve"> – </w:t>
                            </w:r>
                            <w:r w:rsidRPr="00135068">
                              <w:rPr>
                                <w:i/>
                                <w:sz w:val="20"/>
                              </w:rPr>
                              <w:t>Fonte: www.ons.gov.uk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D4766" id="_x0000_s1040" type="#_x0000_t202" style="position:absolute;left:0;text-align:left;margin-left:0;margin-top:43.85pt;width:453.4pt;height:257.1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" strokecolor="white [3212]">
                <v:textbox>
                  <w:txbxContent>
                    <w:p w:rsidR="00B63BAD" w:rsidRPr="00135068" w:rsidRDefault="00B63BAD" w:rsidP="00431B8C">
                      <w:pPr>
                        <w:rPr>
                          <w:sz w:val="20"/>
                        </w:rPr>
                      </w:pPr>
                      <w:r w:rsidRPr="00135068">
                        <w:rPr>
                          <w:noProof/>
                          <w:sz w:val="20"/>
                          <w:lang w:eastAsia="it-IT"/>
                        </w:rPr>
                        <w:drawing>
                          <wp:inline distT="0" distB="0" distL="0" distR="0" wp14:anchorId="4414C6E0" wp14:editId="6C1E4B93">
                            <wp:extent cx="5612765" cy="2841172"/>
                            <wp:effectExtent l="0" t="0" r="6985" b="16510"/>
                            <wp:docPr id="60" name="Grafico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63BAD" w:rsidRPr="00135068" w:rsidRDefault="00B63BAD" w:rsidP="00431B8C">
                      <w:pPr>
                        <w:rPr>
                          <w:sz w:val="20"/>
                        </w:rPr>
                      </w:pPr>
                      <w:r>
                        <w:rPr>
                          <w:b/>
                          <w:sz w:val="20"/>
                        </w:rPr>
                        <w:t>Fig</w:t>
                      </w:r>
                      <w:r w:rsidRPr="00135068">
                        <w:rPr>
                          <w:b/>
                          <w:sz w:val="20"/>
                        </w:rPr>
                        <w:t xml:space="preserve"> 2.5.1</w:t>
                      </w:r>
                      <w:r>
                        <w:rPr>
                          <w:b/>
                          <w:sz w:val="20"/>
                        </w:rPr>
                        <w:t>.1</w:t>
                      </w:r>
                      <w:r w:rsidRPr="00135068">
                        <w:rPr>
                          <w:sz w:val="20"/>
                        </w:rPr>
                        <w:t xml:space="preserve"> – </w:t>
                      </w:r>
                      <w:r w:rsidRPr="00135068">
                        <w:rPr>
                          <w:i/>
                          <w:sz w:val="20"/>
                        </w:rPr>
                        <w:t>Fonte: www.ons.gov.uk</w:t>
                      </w:r>
                    </w:p>
                  </w:txbxContent>
                </v:textbox>
                <w10:wrap type="square" anchorx="margin"/>
              </v:shape>
            </w:pict>
          </mc:Fallback>
        </mc:AlternateContent>
      </w:r>
      <w:r w:rsidR="00B24BA1">
        <w:rPr>
          <w:rFonts w:cs="Times New Roman"/>
          <w:sz w:val="24"/>
        </w:rPr>
        <w:t xml:space="preserve">Dal 1995 il conto corrente inglese è in deficit, </w:t>
      </w:r>
      <w:r w:rsidR="008F1A0D">
        <w:rPr>
          <w:rFonts w:cs="Times New Roman"/>
          <w:sz w:val="24"/>
        </w:rPr>
        <w:t>peggiorando</w:t>
      </w:r>
      <w:r w:rsidR="00B24BA1">
        <w:rPr>
          <w:rFonts w:cs="Times New Roman"/>
          <w:sz w:val="24"/>
        </w:rPr>
        <w:t xml:space="preserve"> fino ai giorni nostri figurando come il 5,4% del PIL nel 2015.</w:t>
      </w:r>
    </w:p>
    <w:p w:rsidR="00D5402A" w:rsidRDefault="00B24BA1" w:rsidP="0017315A">
      <w:pPr>
        <w:spacing w:line="360" w:lineRule="auto"/>
        <w:ind w:firstLine="397"/>
        <w:jc w:val="both"/>
        <w:rPr>
          <w:rFonts w:cs="Times New Roman"/>
          <w:sz w:val="24"/>
        </w:rPr>
      </w:pPr>
      <w:r>
        <w:rPr>
          <w:rFonts w:cs="Times New Roman"/>
          <w:sz w:val="24"/>
        </w:rPr>
        <w:t xml:space="preserve">La responsabilità temporalmente maggiore per questo calo è attribuibile alla bilancia commerciale che, come abbiamo già analizzato al paragrafo 2.2, è in negativo da molti anni. Negli ultimi anni si è evidenziato, però, anche un calo dei redditi primari con un picco di deficit del 2% del </w:t>
      </w:r>
      <w:proofErr w:type="spellStart"/>
      <w:r>
        <w:rPr>
          <w:rFonts w:cs="Times New Roman"/>
          <w:sz w:val="24"/>
        </w:rPr>
        <w:t>PIl</w:t>
      </w:r>
      <w:proofErr w:type="spellEnd"/>
      <w:r>
        <w:rPr>
          <w:rFonts w:cs="Times New Roman"/>
          <w:sz w:val="24"/>
        </w:rPr>
        <w:t xml:space="preserve"> nel 2015, principalmente causata dalla riduzione dei guadagni de</w:t>
      </w:r>
      <w:r w:rsidR="00B12D0C">
        <w:rPr>
          <w:rFonts w:cs="Times New Roman"/>
          <w:sz w:val="24"/>
        </w:rPr>
        <w:t>i residenti inglesi dagli investimenti esteri e dagli investimenti domestici stabili.</w:t>
      </w:r>
      <w:r w:rsidR="00D5402A">
        <w:rPr>
          <w:rFonts w:cs="Times New Roman"/>
          <w:sz w:val="24"/>
        </w:rPr>
        <w:t xml:space="preserve"> Infatti, come si può vedere nella figura 2.5.1.2, i redditi primari hanno assunto entità negativa dal 2012. Questa caduta è portata da una combinazione di più effetti, uno tra questi è </w:t>
      </w:r>
      <w:r w:rsidR="000479A3">
        <w:rPr>
          <w:rFonts w:cs="Times New Roman"/>
          <w:sz w:val="24"/>
        </w:rPr>
        <w:t>la caduta del tasso di ritorno sugli investimenti detenuti all’estero.</w:t>
      </w:r>
    </w:p>
    <w:p w:rsidR="00D00ED4" w:rsidRDefault="000479A3" w:rsidP="00D00ED4">
      <w:pPr>
        <w:spacing w:line="360" w:lineRule="auto"/>
        <w:ind w:firstLine="397"/>
        <w:jc w:val="both"/>
        <w:rPr>
          <w:rFonts w:cs="Times New Roman"/>
          <w:sz w:val="24"/>
        </w:rPr>
      </w:pPr>
      <w:r>
        <w:rPr>
          <w:rFonts w:cs="Times New Roman"/>
          <w:sz w:val="24"/>
        </w:rPr>
        <w:t xml:space="preserve">Poiché i cittadini inglesi investono meno all’estero rispetto alle controparti straniere, c’è stato un peggioramento della </w:t>
      </w:r>
      <w:r w:rsidRPr="00D82803">
        <w:rPr>
          <w:rFonts w:cs="Times New Roman"/>
          <w:sz w:val="24"/>
        </w:rPr>
        <w:t xml:space="preserve">International </w:t>
      </w:r>
      <w:proofErr w:type="spellStart"/>
      <w:r w:rsidR="00D82803" w:rsidRPr="00D82803">
        <w:rPr>
          <w:rFonts w:cs="Times New Roman"/>
          <w:sz w:val="24"/>
        </w:rPr>
        <w:t>Investment</w:t>
      </w:r>
      <w:proofErr w:type="spellEnd"/>
      <w:r w:rsidR="00D82803" w:rsidRPr="00D82803">
        <w:rPr>
          <w:rFonts w:cs="Times New Roman"/>
          <w:sz w:val="24"/>
        </w:rPr>
        <w:t xml:space="preserve"> Position</w:t>
      </w:r>
      <w:r w:rsidRPr="00425051">
        <w:rPr>
          <w:rFonts w:cs="Times New Roman"/>
          <w:sz w:val="24"/>
        </w:rPr>
        <w:t xml:space="preserve"> </w:t>
      </w:r>
      <w:r w:rsidR="00D82803" w:rsidRPr="00D82803">
        <w:rPr>
          <w:rFonts w:cs="Times New Roman"/>
          <w:sz w:val="24"/>
        </w:rPr>
        <w:t>(</w:t>
      </w:r>
      <w:r w:rsidRPr="00425051">
        <w:rPr>
          <w:rFonts w:cs="Times New Roman"/>
          <w:sz w:val="24"/>
        </w:rPr>
        <w:t>IIP</w:t>
      </w:r>
      <w:r w:rsidRPr="00D82803">
        <w:rPr>
          <w:rFonts w:cs="Times New Roman"/>
          <w:sz w:val="24"/>
        </w:rPr>
        <w:t>)</w:t>
      </w:r>
      <w:r>
        <w:rPr>
          <w:rFonts w:cs="Times New Roman"/>
          <w:sz w:val="24"/>
        </w:rPr>
        <w:t>.</w:t>
      </w:r>
      <w:r w:rsidR="00D00ED4">
        <w:rPr>
          <w:rFonts w:cs="Times New Roman"/>
          <w:sz w:val="24"/>
        </w:rPr>
        <w:t xml:space="preserve"> La differenza tra </w:t>
      </w:r>
      <w:r w:rsidR="00D82803">
        <w:rPr>
          <w:rFonts w:cs="Times New Roman"/>
          <w:sz w:val="24"/>
        </w:rPr>
        <w:t xml:space="preserve">gli investimenti all’estero e gli investimenti stranieri sul territorio inglese è definita Net International </w:t>
      </w:r>
      <w:proofErr w:type="spellStart"/>
      <w:r w:rsidR="00D82803">
        <w:rPr>
          <w:rFonts w:cs="Times New Roman"/>
          <w:sz w:val="24"/>
        </w:rPr>
        <w:t>Investment</w:t>
      </w:r>
      <w:proofErr w:type="spellEnd"/>
      <w:r w:rsidR="00D82803">
        <w:rPr>
          <w:rFonts w:cs="Times New Roman"/>
          <w:sz w:val="24"/>
        </w:rPr>
        <w:t xml:space="preserve"> Position (</w:t>
      </w:r>
      <w:r w:rsidR="00D82803" w:rsidRPr="00425051">
        <w:rPr>
          <w:rFonts w:cs="Times New Roman"/>
          <w:sz w:val="24"/>
        </w:rPr>
        <w:t>NIIP</w:t>
      </w:r>
      <w:r w:rsidR="00D82803">
        <w:rPr>
          <w:rFonts w:cs="Times New Roman"/>
          <w:sz w:val="24"/>
        </w:rPr>
        <w:t>). La NIIP è composta da cinque voci:</w:t>
      </w:r>
    </w:p>
    <w:p w:rsidR="00D82803" w:rsidRPr="00425051" w:rsidRDefault="00D82803" w:rsidP="00425051">
      <w:pPr>
        <w:pStyle w:val="Paragrafoelenco"/>
        <w:numPr>
          <w:ilvl w:val="0"/>
          <w:numId w:val="18"/>
        </w:numPr>
        <w:spacing w:line="360" w:lineRule="auto"/>
        <w:jc w:val="both"/>
        <w:rPr>
          <w:rFonts w:cs="Times New Roman"/>
          <w:sz w:val="24"/>
        </w:rPr>
      </w:pPr>
      <w:r w:rsidRPr="00425051">
        <w:rPr>
          <w:rFonts w:cs="Times New Roman"/>
          <w:sz w:val="24"/>
        </w:rPr>
        <w:t>Investimenti diretti: investimenti in compagnie straniere con un’influenza del 10% minimo</w:t>
      </w:r>
    </w:p>
    <w:p w:rsidR="00D82803" w:rsidRPr="00425051" w:rsidRDefault="00D82803" w:rsidP="00425051">
      <w:pPr>
        <w:pStyle w:val="Paragrafoelenco"/>
        <w:numPr>
          <w:ilvl w:val="0"/>
          <w:numId w:val="18"/>
        </w:numPr>
        <w:spacing w:line="360" w:lineRule="auto"/>
        <w:jc w:val="both"/>
        <w:rPr>
          <w:rFonts w:cs="Times New Roman"/>
          <w:sz w:val="24"/>
        </w:rPr>
      </w:pPr>
      <w:r w:rsidRPr="00425051">
        <w:rPr>
          <w:rFonts w:cs="Times New Roman"/>
          <w:sz w:val="24"/>
        </w:rPr>
        <w:lastRenderedPageBreak/>
        <w:t>Investimenti finanziari: investimenti in compagnie straniere con un’influenza inferiore al 10%</w:t>
      </w:r>
    </w:p>
    <w:p w:rsidR="00D82803" w:rsidRPr="00425051" w:rsidRDefault="00D82803" w:rsidP="00425051">
      <w:pPr>
        <w:pStyle w:val="Paragrafoelenco"/>
        <w:numPr>
          <w:ilvl w:val="0"/>
          <w:numId w:val="18"/>
        </w:numPr>
        <w:spacing w:line="360" w:lineRule="auto"/>
        <w:jc w:val="both"/>
        <w:rPr>
          <w:rFonts w:cs="Times New Roman"/>
          <w:sz w:val="24"/>
        </w:rPr>
      </w:pPr>
      <w:r w:rsidRPr="00425051">
        <w:rPr>
          <w:rFonts w:cs="Times New Roman"/>
          <w:sz w:val="24"/>
        </w:rPr>
        <w:t>Derivati finanziari</w:t>
      </w:r>
    </w:p>
    <w:p w:rsidR="00D82803" w:rsidRPr="00425051" w:rsidRDefault="00D82803" w:rsidP="00425051">
      <w:pPr>
        <w:pStyle w:val="Paragrafoelenco"/>
        <w:numPr>
          <w:ilvl w:val="0"/>
          <w:numId w:val="18"/>
        </w:numPr>
        <w:spacing w:line="360" w:lineRule="auto"/>
        <w:jc w:val="both"/>
        <w:rPr>
          <w:rFonts w:cs="Times New Roman"/>
          <w:sz w:val="24"/>
        </w:rPr>
      </w:pPr>
      <w:r w:rsidRPr="00425051">
        <w:rPr>
          <w:rFonts w:cs="Times New Roman"/>
          <w:sz w:val="24"/>
        </w:rPr>
        <w:t>Altri investimenti</w:t>
      </w:r>
    </w:p>
    <w:p w:rsidR="00D82803" w:rsidRPr="00425051" w:rsidRDefault="0017315A" w:rsidP="00425051">
      <w:pPr>
        <w:pStyle w:val="Paragrafoelenco"/>
        <w:numPr>
          <w:ilvl w:val="0"/>
          <w:numId w:val="18"/>
        </w:numPr>
        <w:spacing w:line="360" w:lineRule="auto"/>
        <w:jc w:val="both"/>
        <w:rPr>
          <w:rFonts w:cs="Times New Roman"/>
          <w:sz w:val="24"/>
        </w:rPr>
      </w:pPr>
      <w:r w:rsidRPr="00B12D0C">
        <w:rPr>
          <w:rFonts w:cs="Times New Roman"/>
          <w:noProof/>
          <w:sz w:val="24"/>
          <w:lang w:eastAsia="it-IT"/>
        </w:rPr>
        <mc:AlternateContent>
          <mc:Choice Requires="wps">
            <w:drawing>
              <wp:anchor distT="45720" distB="45720" distL="114300" distR="114300" simplePos="0" relativeHeight="251714560" behindDoc="0" locked="0" layoutInCell="1" allowOverlap="1" wp14:anchorId="45ADC791" wp14:editId="36CDD061">
                <wp:simplePos x="0" y="0"/>
                <wp:positionH relativeFrom="margin">
                  <wp:align>right</wp:align>
                </wp:positionH>
                <wp:positionV relativeFrom="paragraph">
                  <wp:posOffset>548894</wp:posOffset>
                </wp:positionV>
                <wp:extent cx="5736590" cy="3863975"/>
                <wp:effectExtent l="0" t="0" r="16510" b="22225"/>
                <wp:wrapSquare wrapText="bothSides"/>
                <wp:docPr id="19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6590" cy="3863975"/>
                        </a:xfrm>
                        <a:prstGeom prst="rect">
                          <a:avLst/>
                        </a:prstGeom>
                        <a:solidFill>
                          <a:srgbClr val="FFFFFF"/>
                        </a:solidFill>
                        <a:ln w="9525">
                          <a:solidFill>
                            <a:schemeClr val="bg1"/>
                          </a:solidFill>
                          <a:miter lim="800000"/>
                          <a:headEnd/>
                          <a:tailEnd/>
                        </a:ln>
                      </wps:spPr>
                      <wps:txbx>
                        <w:txbxContent>
                          <w:p w:rsidR="00B63BAD" w:rsidRDefault="00B63BAD" w:rsidP="0017315A">
                            <w:r w:rsidRPr="001556D4">
                              <w:rPr>
                                <w:noProof/>
                                <w:lang w:eastAsia="it-IT"/>
                              </w:rPr>
                              <w:drawing>
                                <wp:inline distT="0" distB="0" distL="0" distR="0" wp14:anchorId="0AEBF4EE" wp14:editId="1920071C">
                                  <wp:extent cx="5584371" cy="3226848"/>
                                  <wp:effectExtent l="0" t="0" r="0" b="0"/>
                                  <wp:docPr id="52" name="Immagine 52" descr="D:\Università\Tesi\Immagini\current account 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tà\Tesi\Immagini\current account balan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6529" cy="3239652"/>
                                          </a:xfrm>
                                          <a:prstGeom prst="rect">
                                            <a:avLst/>
                                          </a:prstGeom>
                                          <a:noFill/>
                                          <a:ln>
                                            <a:noFill/>
                                          </a:ln>
                                        </pic:spPr>
                                      </pic:pic>
                                    </a:graphicData>
                                  </a:graphic>
                                </wp:inline>
                              </w:drawing>
                            </w:r>
                          </w:p>
                          <w:p w:rsidR="00B63BAD" w:rsidRPr="001556D4" w:rsidRDefault="00B63BAD" w:rsidP="0017315A">
                            <w:pPr>
                              <w:rPr>
                                <w:sz w:val="20"/>
                              </w:rPr>
                            </w:pPr>
                            <w:r w:rsidRPr="001556D4">
                              <w:rPr>
                                <w:b/>
                                <w:sz w:val="20"/>
                              </w:rPr>
                              <w:t>Fig. 2.5.</w:t>
                            </w:r>
                            <w:r>
                              <w:rPr>
                                <w:b/>
                                <w:sz w:val="20"/>
                              </w:rPr>
                              <w:t>1.2</w:t>
                            </w:r>
                            <w:r w:rsidRPr="001556D4">
                              <w:rPr>
                                <w:sz w:val="20"/>
                              </w:rPr>
                              <w:t xml:space="preserve"> – </w:t>
                            </w:r>
                            <w:r w:rsidRPr="001556D4">
                              <w:rPr>
                                <w:i/>
                                <w:sz w:val="20"/>
                              </w:rPr>
                              <w:t>Andamento conto corrente inglese, scomposto nelle parti costituenti</w:t>
                            </w:r>
                          </w:p>
                          <w:p w:rsidR="00B63BAD" w:rsidRPr="001556D4" w:rsidRDefault="00B63BAD" w:rsidP="0017315A">
                            <w:r w:rsidRPr="001556D4">
                              <w:rPr>
                                <w:i/>
                                <w:sz w:val="20"/>
                              </w:rPr>
                              <w:t>Fonte: www.ons.gov.uk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DC791" id="_x0000_s1041" type="#_x0000_t202" style="position:absolute;left:0;text-align:left;margin-left:400.5pt;margin-top:43.2pt;width:451.7pt;height:304.25pt;z-index:251714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" strokecolor="white [3212]">
                <v:textbox>
                  <w:txbxContent>
                    <w:p w:rsidR="00B63BAD" w:rsidRDefault="00B63BAD" w:rsidP="0017315A">
                      <w:r w:rsidRPr="001556D4">
                        <w:rPr>
                          <w:noProof/>
                          <w:lang w:eastAsia="it-IT"/>
                        </w:rPr>
                        <w:drawing>
                          <wp:inline distT="0" distB="0" distL="0" distR="0" wp14:anchorId="0AEBF4EE" wp14:editId="1920071C">
                            <wp:extent cx="5584371" cy="3226848"/>
                            <wp:effectExtent l="0" t="0" r="0" b="0"/>
                            <wp:docPr id="52" name="Immagine 52" descr="D:\Università\Tesi\Immagini\current account 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tà\Tesi\Immagini\current account balan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6529" cy="3239652"/>
                                    </a:xfrm>
                                    <a:prstGeom prst="rect">
                                      <a:avLst/>
                                    </a:prstGeom>
                                    <a:noFill/>
                                    <a:ln>
                                      <a:noFill/>
                                    </a:ln>
                                  </pic:spPr>
                                </pic:pic>
                              </a:graphicData>
                            </a:graphic>
                          </wp:inline>
                        </w:drawing>
                      </w:r>
                    </w:p>
                    <w:p w:rsidR="00B63BAD" w:rsidRPr="001556D4" w:rsidRDefault="00B63BAD" w:rsidP="0017315A">
                      <w:pPr>
                        <w:rPr>
                          <w:sz w:val="20"/>
                        </w:rPr>
                      </w:pPr>
                      <w:r w:rsidRPr="001556D4">
                        <w:rPr>
                          <w:b/>
                          <w:sz w:val="20"/>
                        </w:rPr>
                        <w:t>Fig. 2.5.</w:t>
                      </w:r>
                      <w:r>
                        <w:rPr>
                          <w:b/>
                          <w:sz w:val="20"/>
                        </w:rPr>
                        <w:t>1.2</w:t>
                      </w:r>
                      <w:r w:rsidRPr="001556D4">
                        <w:rPr>
                          <w:sz w:val="20"/>
                        </w:rPr>
                        <w:t xml:space="preserve"> – </w:t>
                      </w:r>
                      <w:r w:rsidRPr="001556D4">
                        <w:rPr>
                          <w:i/>
                          <w:sz w:val="20"/>
                        </w:rPr>
                        <w:t>Andamento conto corrente inglese, scomposto nelle parti costituenti</w:t>
                      </w:r>
                    </w:p>
                    <w:p w:rsidR="00B63BAD" w:rsidRPr="001556D4" w:rsidRDefault="00B63BAD" w:rsidP="0017315A">
                      <w:r w:rsidRPr="001556D4">
                        <w:rPr>
                          <w:i/>
                          <w:sz w:val="20"/>
                        </w:rPr>
                        <w:t>Fonte: www.ons.gov.uk</w:t>
                      </w:r>
                    </w:p>
                  </w:txbxContent>
                </v:textbox>
                <w10:wrap type="square" anchorx="margin"/>
              </v:shape>
            </w:pict>
          </mc:Fallback>
        </mc:AlternateContent>
      </w:r>
      <w:r w:rsidRPr="000479A3">
        <w:rPr>
          <w:noProof/>
          <w:lang w:eastAsia="it-IT"/>
        </w:rPr>
        <mc:AlternateContent>
          <mc:Choice Requires="wps">
            <w:drawing>
              <wp:anchor distT="45720" distB="45720" distL="114300" distR="114300" simplePos="0" relativeHeight="251705344" behindDoc="0" locked="0" layoutInCell="1" allowOverlap="1">
                <wp:simplePos x="0" y="0"/>
                <wp:positionH relativeFrom="margin">
                  <wp:align>right</wp:align>
                </wp:positionH>
                <wp:positionV relativeFrom="paragraph">
                  <wp:posOffset>4061714</wp:posOffset>
                </wp:positionV>
                <wp:extent cx="5747385" cy="3537585"/>
                <wp:effectExtent l="0" t="0" r="24765" b="24765"/>
                <wp:wrapSquare wrapText="bothSides"/>
                <wp:docPr id="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385" cy="3537585"/>
                        </a:xfrm>
                        <a:prstGeom prst="rect">
                          <a:avLst/>
                        </a:prstGeom>
                        <a:solidFill>
                          <a:srgbClr val="FFFFFF"/>
                        </a:solidFill>
                        <a:ln w="9525">
                          <a:solidFill>
                            <a:schemeClr val="bg1"/>
                          </a:solidFill>
                          <a:miter lim="800000"/>
                          <a:headEnd/>
                          <a:tailEnd/>
                        </a:ln>
                      </wps:spPr>
                      <wps:txbx>
                        <w:txbxContent>
                          <w:p w:rsidR="00B63BAD" w:rsidRPr="000479A3" w:rsidRDefault="00B63BAD">
                            <w:pPr>
                              <w:rPr>
                                <w:sz w:val="20"/>
                              </w:rPr>
                            </w:pPr>
                            <w:r w:rsidRPr="000479A3">
                              <w:rPr>
                                <w:noProof/>
                                <w:sz w:val="20"/>
                                <w:lang w:eastAsia="it-IT"/>
                              </w:rPr>
                              <w:drawing>
                                <wp:inline distT="0" distB="0" distL="0" distR="0">
                                  <wp:extent cx="6254885" cy="2873093"/>
                                  <wp:effectExtent l="0" t="0" r="0" b="3810"/>
                                  <wp:docPr id="51" name="Immagine 51" descr="D:\Università\Tesi\Immagini\IIP ingl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tà\Tesi\Immagini\IIP ingles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3928" cy="2904807"/>
                                          </a:xfrm>
                                          <a:prstGeom prst="rect">
                                            <a:avLst/>
                                          </a:prstGeom>
                                          <a:noFill/>
                                          <a:ln>
                                            <a:noFill/>
                                          </a:ln>
                                        </pic:spPr>
                                      </pic:pic>
                                    </a:graphicData>
                                  </a:graphic>
                                </wp:inline>
                              </w:drawing>
                            </w:r>
                          </w:p>
                          <w:p w:rsidR="00B63BAD" w:rsidRPr="000479A3" w:rsidRDefault="00B63BAD">
                            <w:pPr>
                              <w:rPr>
                                <w:sz w:val="20"/>
                              </w:rPr>
                            </w:pPr>
                            <w:proofErr w:type="spellStart"/>
                            <w:r w:rsidRPr="00BB18BF">
                              <w:rPr>
                                <w:b/>
                                <w:sz w:val="20"/>
                              </w:rPr>
                              <w:t>Fig</w:t>
                            </w:r>
                            <w:proofErr w:type="spellEnd"/>
                            <w:r w:rsidRPr="00BB18BF">
                              <w:rPr>
                                <w:b/>
                                <w:sz w:val="20"/>
                              </w:rPr>
                              <w:t xml:space="preserve"> 2.5.1.3</w:t>
                            </w:r>
                            <w:r w:rsidRPr="000479A3">
                              <w:rPr>
                                <w:sz w:val="20"/>
                              </w:rPr>
                              <w:t xml:space="preserve"> – </w:t>
                            </w:r>
                            <w:r>
                              <w:rPr>
                                <w:sz w:val="20"/>
                              </w:rPr>
                              <w:t>N</w:t>
                            </w:r>
                            <w:r w:rsidRPr="000479A3">
                              <w:rPr>
                                <w:sz w:val="20"/>
                              </w:rPr>
                              <w:t>IIP inglese, scomposta nelle sue parti costituenti</w:t>
                            </w:r>
                          </w:p>
                          <w:p w:rsidR="00B63BAD" w:rsidRPr="000479A3" w:rsidRDefault="00B63BAD">
                            <w:pPr>
                              <w:rPr>
                                <w:sz w:val="20"/>
                              </w:rPr>
                            </w:pPr>
                            <w:r w:rsidRPr="000479A3">
                              <w:rPr>
                                <w:sz w:val="20"/>
                              </w:rPr>
                              <w:t>Fonte: www.ons.gov.uk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401.35pt;margin-top:319.8pt;width:452.55pt;height:278.5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" strokecolor="white [3212]">
                <v:textbox>
                  <w:txbxContent>
                    <w:p w:rsidR="00B63BAD" w:rsidRPr="000479A3" w:rsidRDefault="00B63BAD">
                      <w:pPr>
                        <w:rPr>
                          <w:sz w:val="20"/>
                        </w:rPr>
                      </w:pPr>
                      <w:r w:rsidRPr="000479A3">
                        <w:rPr>
                          <w:noProof/>
                          <w:sz w:val="20"/>
                          <w:lang w:eastAsia="it-IT"/>
                        </w:rPr>
                        <w:drawing>
                          <wp:inline distT="0" distB="0" distL="0" distR="0">
                            <wp:extent cx="6254885" cy="2873093"/>
                            <wp:effectExtent l="0" t="0" r="0" b="3810"/>
                            <wp:docPr id="51" name="Immagine 51" descr="D:\Università\Tesi\Immagini\IIP ingl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tà\Tesi\Immagini\IIP ingles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3928" cy="2904807"/>
                                    </a:xfrm>
                                    <a:prstGeom prst="rect">
                                      <a:avLst/>
                                    </a:prstGeom>
                                    <a:noFill/>
                                    <a:ln>
                                      <a:noFill/>
                                    </a:ln>
                                  </pic:spPr>
                                </pic:pic>
                              </a:graphicData>
                            </a:graphic>
                          </wp:inline>
                        </w:drawing>
                      </w:r>
                    </w:p>
                    <w:p w:rsidR="00B63BAD" w:rsidRPr="000479A3" w:rsidRDefault="00B63BAD">
                      <w:pPr>
                        <w:rPr>
                          <w:sz w:val="20"/>
                        </w:rPr>
                      </w:pPr>
                      <w:r w:rsidRPr="00BB18BF">
                        <w:rPr>
                          <w:b/>
                          <w:sz w:val="20"/>
                        </w:rPr>
                        <w:t>Fig 2.5.1.3</w:t>
                      </w:r>
                      <w:r w:rsidRPr="000479A3">
                        <w:rPr>
                          <w:sz w:val="20"/>
                        </w:rPr>
                        <w:t xml:space="preserve"> – </w:t>
                      </w:r>
                      <w:r>
                        <w:rPr>
                          <w:sz w:val="20"/>
                        </w:rPr>
                        <w:t>N</w:t>
                      </w:r>
                      <w:r w:rsidRPr="000479A3">
                        <w:rPr>
                          <w:sz w:val="20"/>
                        </w:rPr>
                        <w:t>IIP inglese, scomposta nelle sue parti costituenti</w:t>
                      </w:r>
                    </w:p>
                    <w:p w:rsidR="00B63BAD" w:rsidRPr="000479A3" w:rsidRDefault="00B63BAD">
                      <w:pPr>
                        <w:rPr>
                          <w:sz w:val="20"/>
                        </w:rPr>
                      </w:pPr>
                      <w:r w:rsidRPr="000479A3">
                        <w:rPr>
                          <w:sz w:val="20"/>
                        </w:rPr>
                        <w:t>Fonte: www.ons.gov.uk</w:t>
                      </w:r>
                    </w:p>
                  </w:txbxContent>
                </v:textbox>
                <w10:wrap type="square" anchorx="margin"/>
              </v:shape>
            </w:pict>
          </mc:Fallback>
        </mc:AlternateContent>
      </w:r>
      <w:proofErr w:type="spellStart"/>
      <w:r w:rsidR="00D82803" w:rsidRPr="00425051">
        <w:rPr>
          <w:rFonts w:cs="Times New Roman"/>
          <w:sz w:val="24"/>
        </w:rPr>
        <w:t>Reserve</w:t>
      </w:r>
      <w:proofErr w:type="spellEnd"/>
      <w:r w:rsidR="00D82803" w:rsidRPr="00425051">
        <w:rPr>
          <w:rFonts w:cs="Times New Roman"/>
          <w:sz w:val="24"/>
        </w:rPr>
        <w:t xml:space="preserve"> </w:t>
      </w:r>
      <w:proofErr w:type="spellStart"/>
      <w:r w:rsidR="00D82803" w:rsidRPr="00425051">
        <w:rPr>
          <w:rFonts w:cs="Times New Roman"/>
          <w:sz w:val="24"/>
        </w:rPr>
        <w:t>assets</w:t>
      </w:r>
      <w:proofErr w:type="spellEnd"/>
      <w:r w:rsidR="00D82803" w:rsidRPr="00425051">
        <w:rPr>
          <w:rFonts w:cs="Times New Roman"/>
          <w:sz w:val="24"/>
        </w:rPr>
        <w:t>: capitali detenuti da istituti monetari per la regolazione del mercato finanziario</w:t>
      </w:r>
    </w:p>
    <w:p w:rsidR="00D82803" w:rsidRDefault="00D82803" w:rsidP="00425051">
      <w:pPr>
        <w:spacing w:line="360" w:lineRule="auto"/>
        <w:ind w:firstLine="397"/>
        <w:jc w:val="both"/>
        <w:rPr>
          <w:rFonts w:cs="Times New Roman"/>
          <w:sz w:val="24"/>
        </w:rPr>
      </w:pPr>
      <w:r>
        <w:rPr>
          <w:rFonts w:cs="Times New Roman"/>
          <w:sz w:val="24"/>
        </w:rPr>
        <w:lastRenderedPageBreak/>
        <w:t>La figura 2.5.1.3 evidenzia come queste cinque voci abbiano contribuito alla posizione finanziaria netta inglese. Si nota un trend negativo degli investimenti diretti</w:t>
      </w:r>
      <w:r w:rsidR="00E021E5">
        <w:rPr>
          <w:rFonts w:cs="Times New Roman"/>
          <w:sz w:val="24"/>
        </w:rPr>
        <w:t>, boa di galleggiamento per il NIIP inglese,</w:t>
      </w:r>
      <w:r>
        <w:rPr>
          <w:rFonts w:cs="Times New Roman"/>
          <w:sz w:val="24"/>
        </w:rPr>
        <w:t xml:space="preserve"> </w:t>
      </w:r>
      <w:r w:rsidR="00E021E5">
        <w:rPr>
          <w:rFonts w:cs="Times New Roman"/>
          <w:sz w:val="24"/>
        </w:rPr>
        <w:t>dal 2008 fino al loro pressoché annullamento nel 2015</w:t>
      </w:r>
      <w:r w:rsidR="00BB18BF">
        <w:rPr>
          <w:rFonts w:cs="Times New Roman"/>
          <w:sz w:val="24"/>
        </w:rPr>
        <w:t xml:space="preserve">. Ad oggi il NIIP ha un deficit pari al 14,4% del PIL. </w:t>
      </w:r>
    </w:p>
    <w:p w:rsidR="00425051" w:rsidRPr="00D82803" w:rsidRDefault="00341E6B" w:rsidP="00425051">
      <w:pPr>
        <w:spacing w:line="360" w:lineRule="auto"/>
        <w:ind w:firstLine="397"/>
        <w:jc w:val="both"/>
        <w:rPr>
          <w:rFonts w:cs="Times New Roman"/>
          <w:sz w:val="24"/>
        </w:rPr>
      </w:pPr>
      <w:r>
        <w:rPr>
          <w:rFonts w:cs="Times New Roman"/>
          <w:sz w:val="24"/>
        </w:rPr>
        <w:t>Una concausa di questo deficit è anche la diminuzione del tasso di ritorno sugli investimenti all’estero così com’è evidenziato nella figura 2.5.1.4</w:t>
      </w:r>
      <w:r w:rsidR="008F1A0D">
        <w:rPr>
          <w:rFonts w:cs="Times New Roman"/>
          <w:sz w:val="24"/>
        </w:rPr>
        <w:t>. Dal 2012, però, i tassi generali sono conversi fino ad allinearsi tra di loro e adesso gli investimenti stranieri generano un tasso di ritorno degli investimenti diretti superiore rispetto a quelli inglesi. Questo potrebbe evidenziare la forza dell’economia inglese all’estero.</w:t>
      </w:r>
    </w:p>
    <w:p w:rsidR="00D5402A" w:rsidRDefault="00F45515" w:rsidP="005609E4">
      <w:pPr>
        <w:spacing w:line="360" w:lineRule="auto"/>
        <w:ind w:firstLine="397"/>
        <w:jc w:val="both"/>
        <w:rPr>
          <w:rFonts w:cs="Times New Roman"/>
          <w:sz w:val="24"/>
        </w:rPr>
      </w:pPr>
      <w:r w:rsidRPr="00BB18BF">
        <w:rPr>
          <w:rFonts w:cs="Times New Roman"/>
          <w:noProof/>
          <w:sz w:val="24"/>
          <w:lang w:eastAsia="it-IT"/>
        </w:rPr>
        <mc:AlternateContent>
          <mc:Choice Requires="wps">
            <w:drawing>
              <wp:anchor distT="45720" distB="45720" distL="114300" distR="114300" simplePos="0" relativeHeight="251707392" behindDoc="0" locked="0" layoutInCell="1" allowOverlap="1">
                <wp:simplePos x="0" y="0"/>
                <wp:positionH relativeFrom="margin">
                  <wp:align>right</wp:align>
                </wp:positionH>
                <wp:positionV relativeFrom="paragraph">
                  <wp:posOffset>543923</wp:posOffset>
                </wp:positionV>
                <wp:extent cx="5739130" cy="1404620"/>
                <wp:effectExtent l="0" t="0" r="13970" b="27305"/>
                <wp:wrapThrough wrapText="bothSides">
                  <wp:wrapPolygon edited="0">
                    <wp:start x="0" y="0"/>
                    <wp:lineTo x="0" y="21636"/>
                    <wp:lineTo x="21581" y="21636"/>
                    <wp:lineTo x="21581" y="0"/>
                    <wp:lineTo x="0" y="0"/>
                  </wp:wrapPolygon>
                </wp:wrapThrough>
                <wp:docPr id="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1404620"/>
                        </a:xfrm>
                        <a:prstGeom prst="rect">
                          <a:avLst/>
                        </a:prstGeom>
                        <a:solidFill>
                          <a:srgbClr val="FFFFFF"/>
                        </a:solidFill>
                        <a:ln w="9525">
                          <a:solidFill>
                            <a:schemeClr val="bg1"/>
                          </a:solidFill>
                          <a:miter lim="800000"/>
                          <a:headEnd/>
                          <a:tailEnd/>
                        </a:ln>
                      </wps:spPr>
                      <wps:txbx>
                        <w:txbxContent>
                          <w:p w:rsidR="00B63BAD" w:rsidRDefault="00B63BAD">
                            <w:r>
                              <w:rPr>
                                <w:noProof/>
                                <w:lang w:eastAsia="it-IT"/>
                              </w:rPr>
                              <w:drawing>
                                <wp:inline distT="0" distB="0" distL="0" distR="0">
                                  <wp:extent cx="5544820" cy="4192905"/>
                                  <wp:effectExtent l="0" t="0" r="0" b="0"/>
                                  <wp:docPr id="54" name="Immagine 54" descr="D:\Università\Tesi\Immagini\Tasso di rit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à\Tesi\Immagini\Tasso di ritorn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4820" cy="4192905"/>
                                          </a:xfrm>
                                          <a:prstGeom prst="rect">
                                            <a:avLst/>
                                          </a:prstGeom>
                                          <a:noFill/>
                                          <a:ln>
                                            <a:noFill/>
                                          </a:ln>
                                        </pic:spPr>
                                      </pic:pic>
                                    </a:graphicData>
                                  </a:graphic>
                                </wp:inline>
                              </w:drawing>
                            </w:r>
                          </w:p>
                          <w:p w:rsidR="00B63BAD" w:rsidRPr="00BB18BF" w:rsidRDefault="00B63BAD">
                            <w:pPr>
                              <w:rPr>
                                <w:i/>
                                <w:sz w:val="20"/>
                              </w:rPr>
                            </w:pPr>
                            <w:proofErr w:type="spellStart"/>
                            <w:r w:rsidRPr="00BB18BF">
                              <w:rPr>
                                <w:b/>
                                <w:sz w:val="20"/>
                              </w:rPr>
                              <w:t>Fig</w:t>
                            </w:r>
                            <w:proofErr w:type="spellEnd"/>
                            <w:r w:rsidRPr="00BB18BF">
                              <w:rPr>
                                <w:b/>
                                <w:sz w:val="20"/>
                              </w:rPr>
                              <w:t xml:space="preserve"> 2.5.1.4</w:t>
                            </w:r>
                            <w:r w:rsidRPr="00BB18BF">
                              <w:rPr>
                                <w:sz w:val="20"/>
                              </w:rPr>
                              <w:t xml:space="preserve"> – </w:t>
                            </w:r>
                            <w:r w:rsidRPr="00BB18BF">
                              <w:rPr>
                                <w:i/>
                                <w:sz w:val="20"/>
                              </w:rPr>
                              <w:t>Andamento del tasso di ritorno sugli investimenti per ogni voce della NIIP</w:t>
                            </w:r>
                          </w:p>
                          <w:p w:rsidR="00B63BAD" w:rsidRPr="00BB18BF" w:rsidRDefault="00B63BAD">
                            <w:pPr>
                              <w:rPr>
                                <w:i/>
                                <w:sz w:val="20"/>
                              </w:rPr>
                            </w:pPr>
                            <w:r w:rsidRPr="00BB18BF">
                              <w:rPr>
                                <w:i/>
                                <w:sz w:val="20"/>
                              </w:rPr>
                              <w:t>Fonte: www.ons.gov.uk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400.7pt;margin-top:42.85pt;width:451.9pt;height:110.6pt;z-index:2517073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" strokecolor="white [3212]">
                <v:textbox style="mso-fit-shape-to-text:t">
                  <w:txbxContent>
                    <w:p w:rsidR="00B63BAD" w:rsidRDefault="00B63BAD">
                      <w:r>
                        <w:rPr>
                          <w:noProof/>
                          <w:lang w:eastAsia="it-IT"/>
                        </w:rPr>
                        <w:drawing>
                          <wp:inline distT="0" distB="0" distL="0" distR="0">
                            <wp:extent cx="5544820" cy="4192905"/>
                            <wp:effectExtent l="0" t="0" r="0" b="0"/>
                            <wp:docPr id="54" name="Immagine 54" descr="D:\Università\Tesi\Immagini\Tasso di rit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à\Tesi\Immagini\Tasso di ritorn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4820" cy="4192905"/>
                                    </a:xfrm>
                                    <a:prstGeom prst="rect">
                                      <a:avLst/>
                                    </a:prstGeom>
                                    <a:noFill/>
                                    <a:ln>
                                      <a:noFill/>
                                    </a:ln>
                                  </pic:spPr>
                                </pic:pic>
                              </a:graphicData>
                            </a:graphic>
                          </wp:inline>
                        </w:drawing>
                      </w:r>
                    </w:p>
                    <w:p w:rsidR="00B63BAD" w:rsidRPr="00BB18BF" w:rsidRDefault="00B63BAD">
                      <w:pPr>
                        <w:rPr>
                          <w:i/>
                          <w:sz w:val="20"/>
                        </w:rPr>
                      </w:pPr>
                      <w:r w:rsidRPr="00BB18BF">
                        <w:rPr>
                          <w:b/>
                          <w:sz w:val="20"/>
                        </w:rPr>
                        <w:t>Fig 2.5.1.4</w:t>
                      </w:r>
                      <w:r w:rsidRPr="00BB18BF">
                        <w:rPr>
                          <w:sz w:val="20"/>
                        </w:rPr>
                        <w:t xml:space="preserve"> – </w:t>
                      </w:r>
                      <w:r w:rsidRPr="00BB18BF">
                        <w:rPr>
                          <w:i/>
                          <w:sz w:val="20"/>
                        </w:rPr>
                        <w:t>Andamento del tasso di ritorno sugli investimenti per ogni voce della NIIP</w:t>
                      </w:r>
                    </w:p>
                    <w:p w:rsidR="00B63BAD" w:rsidRPr="00BB18BF" w:rsidRDefault="00B63BAD">
                      <w:pPr>
                        <w:rPr>
                          <w:i/>
                          <w:sz w:val="20"/>
                        </w:rPr>
                      </w:pPr>
                      <w:r w:rsidRPr="00BB18BF">
                        <w:rPr>
                          <w:i/>
                          <w:sz w:val="20"/>
                        </w:rPr>
                        <w:t>Fonte: www.ons.gov.uk</w:t>
                      </w:r>
                    </w:p>
                  </w:txbxContent>
                </v:textbox>
                <w10:wrap type="through" anchorx="margin"/>
              </v:shape>
            </w:pict>
          </mc:Fallback>
        </mc:AlternateContent>
      </w:r>
      <w:r w:rsidR="008F1A0D">
        <w:rPr>
          <w:rFonts w:cs="Times New Roman"/>
          <w:sz w:val="24"/>
        </w:rPr>
        <w:t xml:space="preserve">Recentemente </w:t>
      </w:r>
      <w:r>
        <w:rPr>
          <w:rFonts w:cs="Times New Roman"/>
          <w:sz w:val="24"/>
        </w:rPr>
        <w:t>il divario tra gli investimenti stranieri e quelli domestici è aumentato, probabilmente a causa di un effetto valutario.</w:t>
      </w:r>
      <w:r w:rsidR="008F1A0D">
        <w:rPr>
          <w:rFonts w:cs="Times New Roman"/>
          <w:sz w:val="24"/>
        </w:rPr>
        <w:t xml:space="preserve"> </w:t>
      </w:r>
    </w:p>
    <w:p w:rsidR="007B4D32" w:rsidRDefault="007B4D32" w:rsidP="005609E4">
      <w:pPr>
        <w:spacing w:line="360" w:lineRule="auto"/>
        <w:ind w:firstLine="397"/>
        <w:jc w:val="both"/>
        <w:rPr>
          <w:rFonts w:cs="Times New Roman"/>
          <w:sz w:val="24"/>
        </w:rPr>
      </w:pPr>
    </w:p>
    <w:p w:rsidR="00D82803" w:rsidRPr="002A08E8" w:rsidRDefault="00D82803" w:rsidP="002A08E8">
      <w:pPr>
        <w:spacing w:line="360" w:lineRule="auto"/>
        <w:jc w:val="both"/>
        <w:rPr>
          <w:rFonts w:cs="Times New Roman"/>
          <w:sz w:val="24"/>
        </w:rPr>
      </w:pPr>
      <w:r w:rsidRPr="002A08E8">
        <w:rPr>
          <w:rFonts w:cs="Times New Roman"/>
          <w:sz w:val="24"/>
        </w:rPr>
        <w:br w:type="page"/>
      </w:r>
    </w:p>
    <w:p w:rsidR="004203A4" w:rsidRDefault="004203A4" w:rsidP="004203A4">
      <w:pPr>
        <w:pStyle w:val="Titolo1"/>
        <w:numPr>
          <w:ilvl w:val="0"/>
          <w:numId w:val="3"/>
        </w:numPr>
        <w:spacing w:line="360" w:lineRule="auto"/>
      </w:pPr>
      <w:bookmarkStart w:id="18" w:name="_Toc475559364"/>
      <w:r>
        <w:lastRenderedPageBreak/>
        <w:t xml:space="preserve">Effetti reali della </w:t>
      </w:r>
      <w:r w:rsidR="00B406A5">
        <w:t>Brexit</w:t>
      </w:r>
      <w:bookmarkEnd w:id="18"/>
    </w:p>
    <w:p w:rsidR="0017315A" w:rsidRPr="0017315A" w:rsidRDefault="0017315A" w:rsidP="0017315A"/>
    <w:p w:rsidR="004203A4" w:rsidRDefault="00FB6D69" w:rsidP="004203A4">
      <w:pPr>
        <w:pStyle w:val="Titolo2"/>
        <w:numPr>
          <w:ilvl w:val="1"/>
          <w:numId w:val="3"/>
        </w:numPr>
        <w:spacing w:line="360" w:lineRule="auto"/>
      </w:pPr>
      <w:bookmarkStart w:id="19" w:name="_Toc475559365"/>
      <w:r>
        <w:t>Un mercato del lavoro in fermento</w:t>
      </w:r>
      <w:bookmarkEnd w:id="19"/>
    </w:p>
    <w:p w:rsidR="0017315A" w:rsidRPr="0017315A" w:rsidRDefault="0017315A" w:rsidP="0017315A"/>
    <w:p w:rsidR="006F557F" w:rsidRPr="006F557F" w:rsidRDefault="006F557F" w:rsidP="00A85BD6">
      <w:pPr>
        <w:spacing w:line="360" w:lineRule="auto"/>
        <w:ind w:firstLine="397"/>
        <w:jc w:val="both"/>
        <w:rPr>
          <w:rFonts w:cs="Times New Roman"/>
          <w:sz w:val="24"/>
        </w:rPr>
      </w:pPr>
      <w:r>
        <w:rPr>
          <w:rFonts w:cs="Times New Roman"/>
          <w:sz w:val="24"/>
        </w:rPr>
        <w:t xml:space="preserve">Indipendentemente dalle sibille che annunciavano una crisi del mercato lavorativo inglese dopo la </w:t>
      </w:r>
      <w:r w:rsidR="00B406A5">
        <w:rPr>
          <w:rFonts w:cs="Times New Roman"/>
          <w:sz w:val="24"/>
        </w:rPr>
        <w:t>Brexit</w:t>
      </w:r>
      <w:r>
        <w:rPr>
          <w:rFonts w:cs="Times New Roman"/>
          <w:sz w:val="24"/>
        </w:rPr>
        <w:t xml:space="preserve">, un dato che non può essere ignorato è quello della diminuzione del tasso di disoccupazione frizionale (NAIRU, </w:t>
      </w:r>
      <w:r w:rsidRPr="006F557F">
        <w:rPr>
          <w:rFonts w:ascii="Arial" w:hAnsi="Arial" w:cs="Arial"/>
          <w:i/>
          <w:color w:val="222222"/>
          <w:shd w:val="clear" w:color="auto" w:fill="FFFFFF"/>
        </w:rPr>
        <w:t>Non-</w:t>
      </w:r>
      <w:proofErr w:type="spellStart"/>
      <w:r w:rsidRPr="006F557F">
        <w:rPr>
          <w:rFonts w:ascii="Arial" w:hAnsi="Arial" w:cs="Arial"/>
          <w:i/>
          <w:color w:val="222222"/>
          <w:shd w:val="clear" w:color="auto" w:fill="FFFFFF"/>
        </w:rPr>
        <w:t>Accelerating</w:t>
      </w:r>
      <w:proofErr w:type="spellEnd"/>
      <w:r w:rsidRPr="006F557F">
        <w:rPr>
          <w:rFonts w:ascii="Arial" w:hAnsi="Arial" w:cs="Arial"/>
          <w:i/>
          <w:color w:val="222222"/>
          <w:shd w:val="clear" w:color="auto" w:fill="FFFFFF"/>
        </w:rPr>
        <w:t xml:space="preserve"> </w:t>
      </w:r>
      <w:proofErr w:type="spellStart"/>
      <w:r w:rsidRPr="006F557F">
        <w:rPr>
          <w:rFonts w:ascii="Arial" w:hAnsi="Arial" w:cs="Arial"/>
          <w:i/>
          <w:color w:val="222222"/>
          <w:shd w:val="clear" w:color="auto" w:fill="FFFFFF"/>
        </w:rPr>
        <w:t>Inflation</w:t>
      </w:r>
      <w:proofErr w:type="spellEnd"/>
      <w:r w:rsidRPr="006F557F">
        <w:rPr>
          <w:rFonts w:ascii="Arial" w:hAnsi="Arial" w:cs="Arial"/>
          <w:i/>
          <w:color w:val="222222"/>
          <w:shd w:val="clear" w:color="auto" w:fill="FFFFFF"/>
        </w:rPr>
        <w:t xml:space="preserve"> Rate of </w:t>
      </w:r>
      <w:proofErr w:type="spellStart"/>
      <w:r w:rsidRPr="006F557F">
        <w:rPr>
          <w:rFonts w:ascii="Arial" w:hAnsi="Arial" w:cs="Arial"/>
          <w:i/>
          <w:color w:val="222222"/>
          <w:shd w:val="clear" w:color="auto" w:fill="FFFFFF"/>
        </w:rPr>
        <w:t>Unemployment</w:t>
      </w:r>
      <w:proofErr w:type="spellEnd"/>
      <w:r>
        <w:rPr>
          <w:rFonts w:ascii="Arial" w:hAnsi="Arial" w:cs="Arial"/>
          <w:color w:val="222222"/>
          <w:shd w:val="clear" w:color="auto" w:fill="FFFFFF"/>
        </w:rPr>
        <w:t xml:space="preserve">) </w:t>
      </w:r>
      <w:r w:rsidRPr="006F557F">
        <w:rPr>
          <w:rFonts w:cs="Times New Roman"/>
          <w:sz w:val="24"/>
        </w:rPr>
        <w:t>al 5%.</w:t>
      </w:r>
    </w:p>
    <w:p w:rsidR="006538CB" w:rsidRDefault="0017315A" w:rsidP="00A85BD6">
      <w:pPr>
        <w:spacing w:line="360" w:lineRule="auto"/>
        <w:ind w:firstLine="397"/>
        <w:jc w:val="both"/>
        <w:rPr>
          <w:rFonts w:cs="Times New Roman"/>
          <w:sz w:val="24"/>
        </w:rPr>
      </w:pPr>
      <w:r w:rsidRPr="001A40BD">
        <w:rPr>
          <w:rFonts w:cs="Times New Roman"/>
          <w:noProof/>
          <w:sz w:val="24"/>
          <w:lang w:eastAsia="it-IT"/>
        </w:rPr>
        <mc:AlternateContent>
          <mc:Choice Requires="wps">
            <w:drawing>
              <wp:anchor distT="45720" distB="45720" distL="114300" distR="114300" simplePos="0" relativeHeight="251695104" behindDoc="0" locked="0" layoutInCell="1" allowOverlap="1">
                <wp:simplePos x="0" y="0"/>
                <wp:positionH relativeFrom="margin">
                  <wp:align>right</wp:align>
                </wp:positionH>
                <wp:positionV relativeFrom="paragraph">
                  <wp:posOffset>2827655</wp:posOffset>
                </wp:positionV>
                <wp:extent cx="5730240" cy="3348355"/>
                <wp:effectExtent l="0" t="0" r="22860" b="23495"/>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348355"/>
                        </a:xfrm>
                        <a:prstGeom prst="rect">
                          <a:avLst/>
                        </a:prstGeom>
                        <a:solidFill>
                          <a:srgbClr val="FFFFFF"/>
                        </a:solidFill>
                        <a:ln w="9525">
                          <a:solidFill>
                            <a:schemeClr val="bg1"/>
                          </a:solidFill>
                          <a:miter lim="800000"/>
                          <a:headEnd/>
                          <a:tailEnd/>
                        </a:ln>
                      </wps:spPr>
                      <wps:txbx>
                        <w:txbxContent>
                          <w:p w:rsidR="00B63BAD" w:rsidRPr="00D92BC3" w:rsidRDefault="00B63BAD">
                            <w:pPr>
                              <w:rPr>
                                <w:sz w:val="18"/>
                              </w:rPr>
                            </w:pPr>
                            <w:r w:rsidRPr="00D92BC3">
                              <w:rPr>
                                <w:rFonts w:cs="Times New Roman"/>
                                <w:noProof/>
                                <w:lang w:eastAsia="it-IT"/>
                              </w:rPr>
                              <w:drawing>
                                <wp:inline distT="0" distB="0" distL="0" distR="0" wp14:anchorId="35C70E97" wp14:editId="30878C80">
                                  <wp:extent cx="5596128" cy="2798445"/>
                                  <wp:effectExtent l="0" t="0" r="5080" b="1905"/>
                                  <wp:docPr id="35" name="Gra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B63BAD" w:rsidRPr="00D92BC3" w:rsidRDefault="00B63BAD">
                            <w:pPr>
                              <w:rPr>
                                <w:sz w:val="20"/>
                              </w:rPr>
                            </w:pPr>
                            <w:proofErr w:type="spellStart"/>
                            <w:r w:rsidRPr="00D92BC3">
                              <w:rPr>
                                <w:b/>
                                <w:sz w:val="20"/>
                              </w:rPr>
                              <w:t>Tab</w:t>
                            </w:r>
                            <w:proofErr w:type="spellEnd"/>
                            <w:r w:rsidRPr="00D92BC3">
                              <w:rPr>
                                <w:b/>
                                <w:sz w:val="20"/>
                              </w:rPr>
                              <w:t>. 3.1.2</w:t>
                            </w:r>
                            <w:r w:rsidRPr="00D92BC3">
                              <w:rPr>
                                <w:sz w:val="20"/>
                              </w:rPr>
                              <w:t xml:space="preserve"> – </w:t>
                            </w:r>
                            <w:r w:rsidRPr="00D92BC3">
                              <w:rPr>
                                <w:i/>
                                <w:sz w:val="20"/>
                              </w:rPr>
                              <w:t xml:space="preserve">Fonte: </w:t>
                            </w:r>
                            <w:proofErr w:type="spellStart"/>
                            <w:r w:rsidRPr="00D92BC3">
                              <w:rPr>
                                <w:i/>
                                <w:sz w:val="20"/>
                              </w:rPr>
                              <w:t>Eurostat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400pt;margin-top:222.65pt;width:451.2pt;height:263.65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" strokecolor="white [3212]">
                <v:textbox>
                  <w:txbxContent>
                    <w:p w:rsidR="00B63BAD" w:rsidRPr="00D92BC3" w:rsidRDefault="00B63BAD">
                      <w:pPr>
                        <w:rPr>
                          <w:sz w:val="18"/>
                        </w:rPr>
                      </w:pPr>
                      <w:r w:rsidRPr="00D92BC3">
                        <w:rPr>
                          <w:rFonts w:cs="Times New Roman"/>
                          <w:noProof/>
                          <w:lang w:eastAsia="it-IT"/>
                        </w:rPr>
                        <w:drawing>
                          <wp:inline distT="0" distB="0" distL="0" distR="0" wp14:anchorId="35C70E97" wp14:editId="30878C80">
                            <wp:extent cx="5596128" cy="2798445"/>
                            <wp:effectExtent l="0" t="0" r="5080" b="1905"/>
                            <wp:docPr id="35" name="Gra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B63BAD" w:rsidRPr="00D92BC3" w:rsidRDefault="00B63BAD">
                      <w:pPr>
                        <w:rPr>
                          <w:sz w:val="20"/>
                        </w:rPr>
                      </w:pPr>
                      <w:r w:rsidRPr="00D92BC3">
                        <w:rPr>
                          <w:b/>
                          <w:sz w:val="20"/>
                        </w:rPr>
                        <w:t>Tab. 3.1.2</w:t>
                      </w:r>
                      <w:r w:rsidRPr="00D92BC3">
                        <w:rPr>
                          <w:sz w:val="20"/>
                        </w:rPr>
                        <w:t xml:space="preserve"> – </w:t>
                      </w:r>
                      <w:r w:rsidRPr="00D92BC3">
                        <w:rPr>
                          <w:i/>
                          <w:sz w:val="20"/>
                        </w:rPr>
                        <w:t>Fonte: Eurostat</w:t>
                      </w:r>
                    </w:p>
                  </w:txbxContent>
                </v:textbox>
                <w10:wrap type="square" anchorx="margin"/>
              </v:shape>
            </w:pict>
          </mc:Fallback>
        </mc:AlternateContent>
      </w:r>
      <w:r w:rsidR="005D367F" w:rsidRPr="001F4C4B">
        <w:rPr>
          <w:rFonts w:cs="Times New Roman"/>
          <w:noProof/>
          <w:sz w:val="24"/>
          <w:lang w:eastAsia="it-IT"/>
        </w:rPr>
        <mc:AlternateContent>
          <mc:Choice Requires="wps">
            <w:drawing>
              <wp:anchor distT="45720" distB="45720" distL="114300" distR="114300" simplePos="0" relativeHeight="251691008" behindDoc="0" locked="0" layoutInCell="1" allowOverlap="1">
                <wp:simplePos x="0" y="0"/>
                <wp:positionH relativeFrom="margin">
                  <wp:align>left</wp:align>
                </wp:positionH>
                <wp:positionV relativeFrom="paragraph">
                  <wp:posOffset>6985</wp:posOffset>
                </wp:positionV>
                <wp:extent cx="2981325" cy="3190875"/>
                <wp:effectExtent l="0" t="0" r="28575" b="28575"/>
                <wp:wrapThrough wrapText="bothSides">
                  <wp:wrapPolygon edited="0">
                    <wp:start x="0" y="0"/>
                    <wp:lineTo x="0" y="21664"/>
                    <wp:lineTo x="21669" y="21664"/>
                    <wp:lineTo x="21669" y="0"/>
                    <wp:lineTo x="0" y="0"/>
                  </wp:wrapPolygon>
                </wp:wrapThrough>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3190875"/>
                        </a:xfrm>
                        <a:prstGeom prst="rect">
                          <a:avLst/>
                        </a:prstGeom>
                        <a:solidFill>
                          <a:srgbClr val="FFFFFF"/>
                        </a:solidFill>
                        <a:ln w="9525">
                          <a:solidFill>
                            <a:schemeClr val="bg1"/>
                          </a:solidFill>
                          <a:miter lim="800000"/>
                          <a:headEnd/>
                          <a:tailEnd/>
                        </a:ln>
                      </wps:spPr>
                      <wps:txbx>
                        <w:txbxContent>
                          <w:p w:rsidR="00B63BAD" w:rsidRPr="00D92BC3" w:rsidRDefault="00B63BAD">
                            <w:pPr>
                              <w:rPr>
                                <w:sz w:val="20"/>
                              </w:rPr>
                            </w:pPr>
                            <w:r w:rsidRPr="00D92BC3">
                              <w:rPr>
                                <w:noProof/>
                                <w:sz w:val="20"/>
                                <w:lang w:eastAsia="it-IT"/>
                              </w:rPr>
                              <w:drawing>
                                <wp:inline distT="0" distB="0" distL="0" distR="0">
                                  <wp:extent cx="2800350" cy="2743200"/>
                                  <wp:effectExtent l="0" t="0" r="0" b="0"/>
                                  <wp:docPr id="33" name="Gra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63BAD" w:rsidRPr="00D92BC3" w:rsidRDefault="00B63BAD">
                            <w:pPr>
                              <w:rPr>
                                <w:i/>
                                <w:sz w:val="20"/>
                              </w:rPr>
                            </w:pPr>
                            <w:proofErr w:type="spellStart"/>
                            <w:r w:rsidRPr="00D92BC3">
                              <w:rPr>
                                <w:b/>
                                <w:sz w:val="20"/>
                              </w:rPr>
                              <w:t>Tab</w:t>
                            </w:r>
                            <w:proofErr w:type="spellEnd"/>
                            <w:r w:rsidRPr="00D92BC3">
                              <w:rPr>
                                <w:b/>
                                <w:sz w:val="20"/>
                              </w:rPr>
                              <w:t>. 3.1.1</w:t>
                            </w:r>
                            <w:r w:rsidRPr="00D92BC3">
                              <w:rPr>
                                <w:sz w:val="20"/>
                              </w:rPr>
                              <w:t xml:space="preserve"> – </w:t>
                            </w:r>
                            <w:r w:rsidRPr="00D92BC3">
                              <w:rPr>
                                <w:i/>
                                <w:sz w:val="20"/>
                              </w:rPr>
                              <w:t xml:space="preserve">Fonte: </w:t>
                            </w:r>
                            <w:proofErr w:type="spellStart"/>
                            <w:r w:rsidRPr="00D92BC3">
                              <w:rPr>
                                <w:i/>
                                <w:sz w:val="20"/>
                              </w:rPr>
                              <w:t>Eurostat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55pt;width:234.75pt;height:251.2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" strokecolor="white [3212]">
                <v:textbox>
                  <w:txbxContent>
                    <w:p w:rsidR="00B63BAD" w:rsidRPr="00D92BC3" w:rsidRDefault="00B63BAD">
                      <w:pPr>
                        <w:rPr>
                          <w:sz w:val="20"/>
                        </w:rPr>
                      </w:pPr>
                      <w:r w:rsidRPr="00D92BC3">
                        <w:rPr>
                          <w:noProof/>
                          <w:sz w:val="20"/>
                          <w:lang w:eastAsia="it-IT"/>
                        </w:rPr>
                        <w:drawing>
                          <wp:inline distT="0" distB="0" distL="0" distR="0">
                            <wp:extent cx="2800350" cy="2743200"/>
                            <wp:effectExtent l="0" t="0" r="0" b="0"/>
                            <wp:docPr id="33" name="Gra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63BAD" w:rsidRPr="00D92BC3" w:rsidRDefault="00B63BAD">
                      <w:pPr>
                        <w:rPr>
                          <w:i/>
                          <w:sz w:val="20"/>
                        </w:rPr>
                      </w:pPr>
                      <w:r w:rsidRPr="00D92BC3">
                        <w:rPr>
                          <w:b/>
                          <w:sz w:val="20"/>
                        </w:rPr>
                        <w:t>Tab. 3.1.1</w:t>
                      </w:r>
                      <w:r w:rsidRPr="00D92BC3">
                        <w:rPr>
                          <w:sz w:val="20"/>
                        </w:rPr>
                        <w:t xml:space="preserve"> – </w:t>
                      </w:r>
                      <w:r w:rsidRPr="00D92BC3">
                        <w:rPr>
                          <w:i/>
                          <w:sz w:val="20"/>
                        </w:rPr>
                        <w:t>Fonte: Eurostat</w:t>
                      </w:r>
                    </w:p>
                  </w:txbxContent>
                </v:textbox>
                <w10:wrap type="through" anchorx="margin"/>
              </v:shape>
            </w:pict>
          </mc:Fallback>
        </mc:AlternateContent>
      </w:r>
      <w:r w:rsidR="006F557F" w:rsidRPr="006F557F">
        <w:rPr>
          <w:rFonts w:cs="Times New Roman"/>
          <w:sz w:val="24"/>
        </w:rPr>
        <w:t xml:space="preserve">Le ragioni di ciò </w:t>
      </w:r>
      <w:r w:rsidR="006F557F">
        <w:rPr>
          <w:rFonts w:cs="Times New Roman"/>
          <w:sz w:val="24"/>
        </w:rPr>
        <w:t xml:space="preserve">sono da ricercare nella crescita economica inglese che è stata più forte del previsto rendendo così possibile la diminuzione del tasso intorno al 4.8%, il minimo negli ultimi 11 anni. </w:t>
      </w:r>
      <w:r w:rsidR="006538CB" w:rsidRPr="006538CB">
        <w:rPr>
          <w:rFonts w:cs="Times New Roman"/>
          <w:sz w:val="24"/>
        </w:rPr>
        <w:t xml:space="preserve">Bisogna anche considerare che, come detto da Michael </w:t>
      </w:r>
      <w:proofErr w:type="spellStart"/>
      <w:r w:rsidR="006538CB" w:rsidRPr="006538CB">
        <w:rPr>
          <w:rFonts w:cs="Times New Roman"/>
          <w:sz w:val="24"/>
        </w:rPr>
        <w:t>Saunders</w:t>
      </w:r>
      <w:proofErr w:type="spellEnd"/>
      <w:r w:rsidR="006538CB" w:rsidRPr="006538CB">
        <w:rPr>
          <w:rFonts w:cs="Times New Roman"/>
          <w:sz w:val="24"/>
        </w:rPr>
        <w:t xml:space="preserve">, un membro esterno della </w:t>
      </w:r>
      <w:proofErr w:type="spellStart"/>
      <w:r w:rsidR="006538CB" w:rsidRPr="006538CB">
        <w:rPr>
          <w:rFonts w:cs="Times New Roman"/>
          <w:sz w:val="24"/>
        </w:rPr>
        <w:t>Bank's</w:t>
      </w:r>
      <w:proofErr w:type="spellEnd"/>
      <w:r w:rsidR="006538CB" w:rsidRPr="006538CB">
        <w:rPr>
          <w:rFonts w:cs="Times New Roman"/>
          <w:sz w:val="24"/>
        </w:rPr>
        <w:t xml:space="preserve"> </w:t>
      </w:r>
      <w:proofErr w:type="spellStart"/>
      <w:r w:rsidR="006538CB" w:rsidRPr="006538CB">
        <w:rPr>
          <w:rFonts w:cs="Times New Roman"/>
          <w:sz w:val="24"/>
        </w:rPr>
        <w:t>Monetary</w:t>
      </w:r>
      <w:proofErr w:type="spellEnd"/>
      <w:r w:rsidR="006538CB" w:rsidRPr="006538CB">
        <w:rPr>
          <w:rFonts w:cs="Times New Roman"/>
          <w:sz w:val="24"/>
        </w:rPr>
        <w:t xml:space="preserve"> Policy </w:t>
      </w:r>
      <w:proofErr w:type="spellStart"/>
      <w:r w:rsidR="006538CB" w:rsidRPr="006538CB">
        <w:rPr>
          <w:rFonts w:cs="Times New Roman"/>
          <w:sz w:val="24"/>
        </w:rPr>
        <w:t>Committee</w:t>
      </w:r>
      <w:proofErr w:type="spellEnd"/>
      <w:r w:rsidR="006538CB">
        <w:rPr>
          <w:rFonts w:cs="Times New Roman"/>
          <w:sz w:val="24"/>
        </w:rPr>
        <w:t>, la crescita dei salari rimarrà al di sotto dei livelli pre-crisi del 4% per i prossimi anni.</w:t>
      </w:r>
      <w:r w:rsidR="006538CB">
        <w:rPr>
          <w:rStyle w:val="Rimandonotaapidipagina"/>
          <w:rFonts w:cs="Times New Roman"/>
          <w:sz w:val="24"/>
        </w:rPr>
        <w:footnoteReference w:id="12"/>
      </w:r>
    </w:p>
    <w:p w:rsidR="00FB6D69" w:rsidRDefault="00E9704C" w:rsidP="00A85BD6">
      <w:pPr>
        <w:spacing w:line="360" w:lineRule="auto"/>
        <w:ind w:firstLine="397"/>
        <w:jc w:val="both"/>
        <w:rPr>
          <w:rFonts w:cs="Times New Roman"/>
          <w:sz w:val="24"/>
        </w:rPr>
      </w:pPr>
      <w:r>
        <w:rPr>
          <w:rFonts w:cs="Times New Roman"/>
          <w:sz w:val="24"/>
        </w:rPr>
        <w:lastRenderedPageBreak/>
        <w:t xml:space="preserve">Possiamo notare, grazie al report annuale del WEF (World </w:t>
      </w:r>
      <w:proofErr w:type="spellStart"/>
      <w:r>
        <w:rPr>
          <w:rFonts w:cs="Times New Roman"/>
          <w:sz w:val="24"/>
        </w:rPr>
        <w:t>Economic</w:t>
      </w:r>
      <w:proofErr w:type="spellEnd"/>
      <w:r>
        <w:rPr>
          <w:rFonts w:cs="Times New Roman"/>
          <w:sz w:val="24"/>
        </w:rPr>
        <w:t xml:space="preserve"> Forum) che il tasso di occupazione è salito dell’1,2% rispetto al 2016 assieme ad una crescita della produttività.</w:t>
      </w:r>
    </w:p>
    <w:p w:rsidR="005D367F" w:rsidRDefault="005D367F" w:rsidP="00A85BD6">
      <w:pPr>
        <w:spacing w:line="360" w:lineRule="auto"/>
        <w:ind w:firstLine="397"/>
        <w:jc w:val="both"/>
        <w:rPr>
          <w:rFonts w:cs="Times New Roman"/>
          <w:sz w:val="24"/>
        </w:rPr>
      </w:pPr>
      <w:r>
        <w:rPr>
          <w:rFonts w:cs="Times New Roman"/>
          <w:sz w:val="24"/>
        </w:rPr>
        <w:t>I problemi nel mercato lavorativo che vengono evidenziati nel suddetto rapporto sono però una distribuzione della ricchezza non ottimale, iniquità dipendente dal genere (dato purtroppo diffuso in molte economie e, quindi, poco significativo nella nostra analisi) e diritti dei lavoratori meno considerati rispetto alla maggior parte dei paesi europei.</w:t>
      </w:r>
    </w:p>
    <w:p w:rsidR="004203A4" w:rsidRPr="006538CB" w:rsidRDefault="00FB6D69" w:rsidP="00A85BD6">
      <w:pPr>
        <w:spacing w:line="360" w:lineRule="auto"/>
        <w:ind w:firstLine="397"/>
        <w:jc w:val="both"/>
        <w:rPr>
          <w:rFonts w:cs="Times New Roman"/>
          <w:sz w:val="24"/>
        </w:rPr>
      </w:pPr>
      <w:r w:rsidRPr="00FB6D69">
        <w:rPr>
          <w:rFonts w:cs="Times New Roman"/>
          <w:noProof/>
          <w:sz w:val="24"/>
          <w:lang w:eastAsia="it-IT"/>
        </w:rPr>
        <mc:AlternateContent>
          <mc:Choice Requires="wps">
            <w:drawing>
              <wp:anchor distT="45720" distB="45720" distL="114300" distR="114300" simplePos="0" relativeHeight="251693056" behindDoc="0" locked="0" layoutInCell="1" allowOverlap="1">
                <wp:simplePos x="0" y="0"/>
                <wp:positionH relativeFrom="margin">
                  <wp:align>right</wp:align>
                </wp:positionH>
                <wp:positionV relativeFrom="paragraph">
                  <wp:posOffset>419</wp:posOffset>
                </wp:positionV>
                <wp:extent cx="5744845" cy="1404620"/>
                <wp:effectExtent l="0" t="0" r="27305" b="26670"/>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193" cy="1404620"/>
                        </a:xfrm>
                        <a:prstGeom prst="rect">
                          <a:avLst/>
                        </a:prstGeom>
                        <a:solidFill>
                          <a:srgbClr val="FFFFFF"/>
                        </a:solidFill>
                        <a:ln w="9525">
                          <a:solidFill>
                            <a:schemeClr val="bg1"/>
                          </a:solidFill>
                          <a:miter lim="800000"/>
                          <a:headEnd/>
                          <a:tailEnd/>
                        </a:ln>
                      </wps:spPr>
                      <wps:txbx>
                        <w:txbxContent>
                          <w:p w:rsidR="00B63BAD" w:rsidRPr="00D92BC3" w:rsidRDefault="00B63BAD">
                            <w:pPr>
                              <w:rPr>
                                <w:sz w:val="20"/>
                              </w:rPr>
                            </w:pPr>
                            <w:r w:rsidRPr="00D92BC3">
                              <w:rPr>
                                <w:rFonts w:cs="Times New Roman"/>
                                <w:noProof/>
                                <w:lang w:eastAsia="it-IT"/>
                              </w:rPr>
                              <w:drawing>
                                <wp:inline distT="0" distB="0" distL="0" distR="0" wp14:anchorId="32D99F74" wp14:editId="61C6E9FF">
                                  <wp:extent cx="5542280" cy="4046598"/>
                                  <wp:effectExtent l="0" t="0" r="1270" b="0"/>
                                  <wp:docPr id="11" name="Immagine 11" descr="D:\Università\Tesi\Immagini\WEF 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à\Tesi\Immagini\WEF G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2280" cy="4046598"/>
                                          </a:xfrm>
                                          <a:prstGeom prst="rect">
                                            <a:avLst/>
                                          </a:prstGeom>
                                          <a:noFill/>
                                          <a:ln>
                                            <a:noFill/>
                                          </a:ln>
                                        </pic:spPr>
                                      </pic:pic>
                                    </a:graphicData>
                                  </a:graphic>
                                </wp:inline>
                              </w:drawing>
                            </w:r>
                          </w:p>
                          <w:p w:rsidR="00B63BAD" w:rsidRPr="00D92BC3" w:rsidRDefault="00B63BAD">
                            <w:pPr>
                              <w:rPr>
                                <w:i/>
                                <w:sz w:val="20"/>
                              </w:rPr>
                            </w:pPr>
                            <w:proofErr w:type="spellStart"/>
                            <w:r w:rsidRPr="00D92BC3">
                              <w:rPr>
                                <w:b/>
                                <w:sz w:val="20"/>
                              </w:rPr>
                              <w:t>Fig</w:t>
                            </w:r>
                            <w:proofErr w:type="spellEnd"/>
                            <w:r w:rsidRPr="00D92BC3">
                              <w:rPr>
                                <w:b/>
                                <w:sz w:val="20"/>
                              </w:rPr>
                              <w:t xml:space="preserve"> 3.1.2</w:t>
                            </w:r>
                            <w:r w:rsidRPr="00D92BC3">
                              <w:rPr>
                                <w:sz w:val="20"/>
                              </w:rPr>
                              <w:t xml:space="preserve"> – </w:t>
                            </w:r>
                            <w:r w:rsidRPr="00D92BC3">
                              <w:rPr>
                                <w:i/>
                                <w:sz w:val="20"/>
                              </w:rPr>
                              <w:t>Report del WEF sulla crescita e lo sviluppo inglesi</w:t>
                            </w:r>
                          </w:p>
                          <w:p w:rsidR="00B63BAD" w:rsidRPr="00D92BC3" w:rsidRDefault="00B63BAD">
                            <w:pPr>
                              <w:rPr>
                                <w:i/>
                                <w:sz w:val="20"/>
                              </w:rPr>
                            </w:pPr>
                            <w:r w:rsidRPr="00D92BC3">
                              <w:rPr>
                                <w:i/>
                                <w:sz w:val="20"/>
                              </w:rPr>
                              <w:t>Fonte: http://reports.weforum.org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401.15pt;margin-top:.05pt;width:452.35pt;height:110.6pt;z-index:2516930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" strokecolor="white [3212]">
                <v:textbox style="mso-fit-shape-to-text:t">
                  <w:txbxContent>
                    <w:p w:rsidR="00B63BAD" w:rsidRPr="00D92BC3" w:rsidRDefault="00B63BAD">
                      <w:pPr>
                        <w:rPr>
                          <w:sz w:val="20"/>
                        </w:rPr>
                      </w:pPr>
                      <w:r w:rsidRPr="00D92BC3">
                        <w:rPr>
                          <w:rFonts w:cs="Times New Roman"/>
                          <w:noProof/>
                          <w:lang w:eastAsia="it-IT"/>
                        </w:rPr>
                        <w:drawing>
                          <wp:inline distT="0" distB="0" distL="0" distR="0" wp14:anchorId="32D99F74" wp14:editId="61C6E9FF">
                            <wp:extent cx="5542280" cy="4046598"/>
                            <wp:effectExtent l="0" t="0" r="1270" b="0"/>
                            <wp:docPr id="11" name="Immagine 11" descr="D:\Università\Tesi\Immagini\WEF 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à\Tesi\Immagini\WEF G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2280" cy="4046598"/>
                                    </a:xfrm>
                                    <a:prstGeom prst="rect">
                                      <a:avLst/>
                                    </a:prstGeom>
                                    <a:noFill/>
                                    <a:ln>
                                      <a:noFill/>
                                    </a:ln>
                                  </pic:spPr>
                                </pic:pic>
                              </a:graphicData>
                            </a:graphic>
                          </wp:inline>
                        </w:drawing>
                      </w:r>
                    </w:p>
                    <w:p w:rsidR="00B63BAD" w:rsidRPr="00D92BC3" w:rsidRDefault="00B63BAD">
                      <w:pPr>
                        <w:rPr>
                          <w:i/>
                          <w:sz w:val="20"/>
                        </w:rPr>
                      </w:pPr>
                      <w:r w:rsidRPr="00D92BC3">
                        <w:rPr>
                          <w:b/>
                          <w:sz w:val="20"/>
                        </w:rPr>
                        <w:t>Fig 3.1.2</w:t>
                      </w:r>
                      <w:r w:rsidRPr="00D92BC3">
                        <w:rPr>
                          <w:sz w:val="20"/>
                        </w:rPr>
                        <w:t xml:space="preserve"> – </w:t>
                      </w:r>
                      <w:r w:rsidRPr="00D92BC3">
                        <w:rPr>
                          <w:i/>
                          <w:sz w:val="20"/>
                        </w:rPr>
                        <w:t>Report del WEF sulla crescita e lo sviluppo inglesi</w:t>
                      </w:r>
                    </w:p>
                    <w:p w:rsidR="00B63BAD" w:rsidRPr="00D92BC3" w:rsidRDefault="00B63BAD">
                      <w:pPr>
                        <w:rPr>
                          <w:i/>
                          <w:sz w:val="20"/>
                        </w:rPr>
                      </w:pPr>
                      <w:r w:rsidRPr="00D92BC3">
                        <w:rPr>
                          <w:i/>
                          <w:sz w:val="20"/>
                        </w:rPr>
                        <w:t>Fonte: http://reports.weforum.org</w:t>
                      </w:r>
                    </w:p>
                  </w:txbxContent>
                </v:textbox>
                <w10:wrap type="square" anchorx="margin"/>
              </v:shape>
            </w:pict>
          </mc:Fallback>
        </mc:AlternateContent>
      </w:r>
      <w:r w:rsidR="000F3223">
        <w:rPr>
          <w:rFonts w:cs="Times New Roman"/>
          <w:sz w:val="24"/>
        </w:rPr>
        <w:t xml:space="preserve"> </w:t>
      </w:r>
      <w:r w:rsidR="004203A4" w:rsidRPr="006538CB">
        <w:rPr>
          <w:rFonts w:cs="Times New Roman"/>
          <w:sz w:val="24"/>
        </w:rPr>
        <w:br w:type="page"/>
      </w:r>
    </w:p>
    <w:p w:rsidR="004203A4" w:rsidRDefault="0027753A" w:rsidP="006D4D38">
      <w:pPr>
        <w:pStyle w:val="Titolo2"/>
        <w:numPr>
          <w:ilvl w:val="1"/>
          <w:numId w:val="3"/>
        </w:numPr>
        <w:spacing w:line="360" w:lineRule="auto"/>
      </w:pPr>
      <w:bookmarkStart w:id="20" w:name="_Toc475559366"/>
      <w:r>
        <w:lastRenderedPageBreak/>
        <w:t>Un PIL inaspettato</w:t>
      </w:r>
      <w:bookmarkEnd w:id="20"/>
    </w:p>
    <w:p w:rsidR="0017315A" w:rsidRPr="0017315A" w:rsidRDefault="0017315A" w:rsidP="0017315A"/>
    <w:p w:rsidR="006D4D38" w:rsidRDefault="0017315A" w:rsidP="006D4D38">
      <w:pPr>
        <w:spacing w:line="360" w:lineRule="auto"/>
        <w:ind w:firstLine="397"/>
        <w:jc w:val="both"/>
        <w:rPr>
          <w:rFonts w:cs="Times New Roman"/>
          <w:sz w:val="24"/>
        </w:rPr>
      </w:pPr>
      <w:r w:rsidRPr="00037461">
        <w:rPr>
          <w:rFonts w:cs="Times New Roman"/>
          <w:noProof/>
          <w:sz w:val="24"/>
          <w:lang w:eastAsia="it-IT"/>
        </w:rPr>
        <mc:AlternateContent>
          <mc:Choice Requires="wps">
            <w:drawing>
              <wp:anchor distT="45720" distB="45720" distL="114300" distR="114300" simplePos="0" relativeHeight="251709440" behindDoc="0" locked="0" layoutInCell="1" allowOverlap="1">
                <wp:simplePos x="0" y="0"/>
                <wp:positionH relativeFrom="margin">
                  <wp:align>left</wp:align>
                </wp:positionH>
                <wp:positionV relativeFrom="paragraph">
                  <wp:posOffset>1258570</wp:posOffset>
                </wp:positionV>
                <wp:extent cx="5747385" cy="4147185"/>
                <wp:effectExtent l="0" t="0" r="24765" b="24765"/>
                <wp:wrapSquare wrapText="bothSides"/>
                <wp:docPr id="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385" cy="4147185"/>
                        </a:xfrm>
                        <a:prstGeom prst="rect">
                          <a:avLst/>
                        </a:prstGeom>
                        <a:solidFill>
                          <a:srgbClr val="FFFFFF"/>
                        </a:solidFill>
                        <a:ln w="9525">
                          <a:solidFill>
                            <a:schemeClr val="bg1"/>
                          </a:solidFill>
                          <a:miter lim="800000"/>
                          <a:headEnd/>
                          <a:tailEnd/>
                        </a:ln>
                      </wps:spPr>
                      <wps:txbx>
                        <w:txbxContent>
                          <w:p w:rsidR="00B63BAD" w:rsidRPr="00037461" w:rsidRDefault="00B63BAD">
                            <w:pPr>
                              <w:rPr>
                                <w:sz w:val="20"/>
                              </w:rPr>
                            </w:pPr>
                            <w:r w:rsidRPr="00037461">
                              <w:rPr>
                                <w:rFonts w:cs="Times New Roman"/>
                                <w:noProof/>
                                <w:lang w:eastAsia="it-IT"/>
                              </w:rPr>
                              <w:drawing>
                                <wp:inline distT="0" distB="0" distL="0" distR="0" wp14:anchorId="08E73749" wp14:editId="29409B53">
                                  <wp:extent cx="5486400" cy="3200400"/>
                                  <wp:effectExtent l="0" t="0" r="0" b="0"/>
                                  <wp:docPr id="55" name="Gra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B63BAD" w:rsidRPr="00037461" w:rsidRDefault="00B63BAD">
                            <w:pPr>
                              <w:rPr>
                                <w:i/>
                                <w:sz w:val="20"/>
                              </w:rPr>
                            </w:pPr>
                            <w:r w:rsidRPr="00037461">
                              <w:rPr>
                                <w:b/>
                                <w:sz w:val="20"/>
                              </w:rPr>
                              <w:t>Fig. 3.2.1 –</w:t>
                            </w:r>
                            <w:r w:rsidRPr="00037461">
                              <w:rPr>
                                <w:sz w:val="20"/>
                              </w:rPr>
                              <w:t xml:space="preserve"> </w:t>
                            </w:r>
                            <w:r w:rsidRPr="00037461">
                              <w:rPr>
                                <w:i/>
                                <w:sz w:val="20"/>
                              </w:rPr>
                              <w:t xml:space="preserve">Variazione trimestrale </w:t>
                            </w:r>
                            <w:proofErr w:type="spellStart"/>
                            <w:r w:rsidRPr="00037461">
                              <w:rPr>
                                <w:i/>
                                <w:sz w:val="20"/>
                              </w:rPr>
                              <w:t>Pil</w:t>
                            </w:r>
                            <w:proofErr w:type="spellEnd"/>
                            <w:r w:rsidRPr="00037461">
                              <w:rPr>
                                <w:i/>
                                <w:sz w:val="20"/>
                              </w:rPr>
                              <w:t xml:space="preserve"> inglese</w:t>
                            </w:r>
                          </w:p>
                          <w:p w:rsidR="00B63BAD" w:rsidRPr="00037461" w:rsidRDefault="00B63BAD">
                            <w:pPr>
                              <w:rPr>
                                <w:i/>
                                <w:sz w:val="20"/>
                              </w:rPr>
                            </w:pPr>
                            <w:r w:rsidRPr="00037461">
                              <w:rPr>
                                <w:i/>
                                <w:sz w:val="20"/>
                              </w:rPr>
                              <w:t>Fonte: www.ons.gov.uk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0;margin-top:99.1pt;width:452.55pt;height:326.55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" strokecolor="white [3212]">
                <v:textbox>
                  <w:txbxContent>
                    <w:p w:rsidR="00B63BAD" w:rsidRPr="00037461" w:rsidRDefault="00B63BAD">
                      <w:pPr>
                        <w:rPr>
                          <w:sz w:val="20"/>
                        </w:rPr>
                      </w:pPr>
                      <w:r w:rsidRPr="00037461">
                        <w:rPr>
                          <w:rFonts w:cs="Times New Roman"/>
                          <w:noProof/>
                          <w:lang w:eastAsia="it-IT"/>
                        </w:rPr>
                        <w:drawing>
                          <wp:inline distT="0" distB="0" distL="0" distR="0" wp14:anchorId="08E73749" wp14:editId="29409B53">
                            <wp:extent cx="5486400" cy="3200400"/>
                            <wp:effectExtent l="0" t="0" r="0" b="0"/>
                            <wp:docPr id="55" name="Gra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B63BAD" w:rsidRPr="00037461" w:rsidRDefault="00B63BAD">
                      <w:pPr>
                        <w:rPr>
                          <w:i/>
                          <w:sz w:val="20"/>
                        </w:rPr>
                      </w:pPr>
                      <w:r w:rsidRPr="00037461">
                        <w:rPr>
                          <w:b/>
                          <w:sz w:val="20"/>
                        </w:rPr>
                        <w:t>Fig. 3.2.1 –</w:t>
                      </w:r>
                      <w:r w:rsidRPr="00037461">
                        <w:rPr>
                          <w:sz w:val="20"/>
                        </w:rPr>
                        <w:t xml:space="preserve"> </w:t>
                      </w:r>
                      <w:r w:rsidRPr="00037461">
                        <w:rPr>
                          <w:i/>
                          <w:sz w:val="20"/>
                        </w:rPr>
                        <w:t>Variazione trimestrale Pil inglese</w:t>
                      </w:r>
                    </w:p>
                    <w:p w:rsidR="00B63BAD" w:rsidRPr="00037461" w:rsidRDefault="00B63BAD">
                      <w:pPr>
                        <w:rPr>
                          <w:i/>
                          <w:sz w:val="20"/>
                        </w:rPr>
                      </w:pPr>
                      <w:r w:rsidRPr="00037461">
                        <w:rPr>
                          <w:i/>
                          <w:sz w:val="20"/>
                        </w:rPr>
                        <w:t>Fonte: www.ons.gov.uk</w:t>
                      </w:r>
                    </w:p>
                  </w:txbxContent>
                </v:textbox>
                <w10:wrap type="square" anchorx="margin"/>
              </v:shape>
            </w:pict>
          </mc:Fallback>
        </mc:AlternateContent>
      </w:r>
      <w:r w:rsidR="00EF1BFF">
        <w:rPr>
          <w:rFonts w:cs="Times New Roman"/>
          <w:sz w:val="24"/>
        </w:rPr>
        <w:t xml:space="preserve">Con una crescita dello 0,5% nel terzo trimestre e dello 0,6% nel quarto, l’Inghilterra ha </w:t>
      </w:r>
      <w:r w:rsidR="00131B01">
        <w:rPr>
          <w:rFonts w:cs="Times New Roman"/>
          <w:sz w:val="24"/>
        </w:rPr>
        <w:t>sfatato le previsioni di breve periodo</w:t>
      </w:r>
      <w:r w:rsidR="00EF1BFF">
        <w:rPr>
          <w:rFonts w:cs="Times New Roman"/>
          <w:sz w:val="24"/>
        </w:rPr>
        <w:t xml:space="preserve"> </w:t>
      </w:r>
      <w:r w:rsidR="00131B01">
        <w:rPr>
          <w:rFonts w:cs="Times New Roman"/>
          <w:sz w:val="24"/>
        </w:rPr>
        <w:t>riguardanti la crisi post-</w:t>
      </w:r>
      <w:r w:rsidR="00B406A5">
        <w:rPr>
          <w:rFonts w:cs="Times New Roman"/>
          <w:sz w:val="24"/>
        </w:rPr>
        <w:t>Brexit</w:t>
      </w:r>
      <w:r w:rsidR="00131B01">
        <w:rPr>
          <w:rFonts w:cs="Times New Roman"/>
          <w:sz w:val="24"/>
        </w:rPr>
        <w:t>. È quanto meno doveroso segnalare che nel secondo trimestre la crescita era stata dello 0,7%, evidenziando quindi una diminuzione, seppure di poco, del trend.</w:t>
      </w:r>
    </w:p>
    <w:p w:rsidR="00131B01" w:rsidRDefault="00131B01" w:rsidP="006D4D38">
      <w:pPr>
        <w:spacing w:line="360" w:lineRule="auto"/>
        <w:ind w:firstLine="397"/>
        <w:jc w:val="both"/>
        <w:rPr>
          <w:rFonts w:cs="Times New Roman"/>
          <w:sz w:val="24"/>
        </w:rPr>
      </w:pPr>
      <w:r>
        <w:rPr>
          <w:rFonts w:cs="Times New Roman"/>
          <w:sz w:val="24"/>
        </w:rPr>
        <w:t xml:space="preserve">La </w:t>
      </w:r>
      <w:proofErr w:type="spellStart"/>
      <w:r>
        <w:rPr>
          <w:rFonts w:cs="Times New Roman"/>
          <w:sz w:val="24"/>
        </w:rPr>
        <w:t>BoE</w:t>
      </w:r>
      <w:proofErr w:type="spellEnd"/>
      <w:r>
        <w:rPr>
          <w:rFonts w:cs="Times New Roman"/>
          <w:sz w:val="24"/>
        </w:rPr>
        <w:t xml:space="preserve">, forte di questi dati, ha rialzato le stime per il 2017, portandole da un povero ma comunque positivo 0,8% al 2% nel 2017, 1,6% nel 2018 e 1,7% nel 2019. Questo rialzo sarebbe probabilmente accompagnato da un </w:t>
      </w:r>
      <w:proofErr w:type="spellStart"/>
      <w:r>
        <w:rPr>
          <w:rFonts w:cs="Times New Roman"/>
          <w:sz w:val="24"/>
        </w:rPr>
        <w:t>overshooting</w:t>
      </w:r>
      <w:proofErr w:type="spellEnd"/>
      <w:r>
        <w:rPr>
          <w:rFonts w:cs="Times New Roman"/>
          <w:sz w:val="24"/>
        </w:rPr>
        <w:t xml:space="preserve"> dell’inflazione al 2,</w:t>
      </w:r>
      <w:r w:rsidR="00272696">
        <w:rPr>
          <w:rFonts w:cs="Times New Roman"/>
          <w:sz w:val="24"/>
        </w:rPr>
        <w:t>8</w:t>
      </w:r>
      <w:r>
        <w:rPr>
          <w:rFonts w:cs="Times New Roman"/>
          <w:sz w:val="24"/>
        </w:rPr>
        <w:t xml:space="preserve">% per poi arrivare al livello target del 2%. Queste previsioni hanno convinto il comitato per le politiche monetarie a non toccare i tassi d’interesse, portando ad un’ulteriore svalutazione della sterline sul dollaro. </w:t>
      </w:r>
    </w:p>
    <w:p w:rsidR="009D7EA3" w:rsidRDefault="009D7EA3" w:rsidP="006D4D38">
      <w:pPr>
        <w:spacing w:line="360" w:lineRule="auto"/>
        <w:ind w:firstLine="397"/>
        <w:jc w:val="both"/>
        <w:rPr>
          <w:rFonts w:cs="Times New Roman"/>
          <w:sz w:val="24"/>
        </w:rPr>
      </w:pPr>
      <w:r>
        <w:rPr>
          <w:rFonts w:cs="Times New Roman"/>
          <w:sz w:val="24"/>
        </w:rPr>
        <w:t xml:space="preserve">È necessario ricordare due elementi che potrebbero minare il futuro di queste previsioni: il primo sono le politiche di Trump verso l’estero, intrise di un sentimento sempre più autarchico, portando così gli Stati Uniti da principale mercato per l’export britannico a un partner di ridotta influenza. Il secondo fattore è, come verrà analizzato nel prossimo paragrafo, che l’attuale </w:t>
      </w:r>
      <w:r>
        <w:rPr>
          <w:rFonts w:cs="Times New Roman"/>
          <w:sz w:val="24"/>
        </w:rPr>
        <w:lastRenderedPageBreak/>
        <w:t xml:space="preserve">spinta del consumo privato è alimentata dall’indebitamento delle famiglie e, quindi, ci sarà una probabile contrazione di questi nel futuro. </w:t>
      </w:r>
    </w:p>
    <w:p w:rsidR="00F45515" w:rsidRPr="006D4D38" w:rsidRDefault="0017315A" w:rsidP="006D4D38">
      <w:pPr>
        <w:spacing w:line="360" w:lineRule="auto"/>
        <w:ind w:firstLine="397"/>
        <w:jc w:val="both"/>
        <w:rPr>
          <w:rFonts w:cs="Times New Roman"/>
          <w:sz w:val="24"/>
        </w:rPr>
      </w:pPr>
      <w:r w:rsidRPr="00B12D0C">
        <w:rPr>
          <w:rFonts w:cs="Times New Roman"/>
          <w:noProof/>
          <w:sz w:val="24"/>
          <w:lang w:eastAsia="it-IT"/>
        </w:rPr>
        <mc:AlternateContent>
          <mc:Choice Requires="wps">
            <w:drawing>
              <wp:anchor distT="45720" distB="45720" distL="114300" distR="114300" simplePos="0" relativeHeight="251703296" behindDoc="0" locked="0" layoutInCell="1" allowOverlap="1">
                <wp:simplePos x="0" y="0"/>
                <wp:positionH relativeFrom="margin">
                  <wp:align>right</wp:align>
                </wp:positionH>
                <wp:positionV relativeFrom="paragraph">
                  <wp:posOffset>365125</wp:posOffset>
                </wp:positionV>
                <wp:extent cx="5736590" cy="4230370"/>
                <wp:effectExtent l="0" t="0" r="16510" b="17780"/>
                <wp:wrapSquare wrapText="bothSides"/>
                <wp:docPr id="19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6590" cy="4230370"/>
                        </a:xfrm>
                        <a:prstGeom prst="rect">
                          <a:avLst/>
                        </a:prstGeom>
                        <a:solidFill>
                          <a:srgbClr val="FFFFFF"/>
                        </a:solidFill>
                        <a:ln w="9525">
                          <a:solidFill>
                            <a:schemeClr val="bg1"/>
                          </a:solidFill>
                          <a:miter lim="800000"/>
                          <a:headEnd/>
                          <a:tailEnd/>
                        </a:ln>
                      </wps:spPr>
                      <wps:txbx>
                        <w:txbxContent>
                          <w:p w:rsidR="00B63BAD" w:rsidRDefault="00B63BAD">
                            <w:r>
                              <w:rPr>
                                <w:noProof/>
                                <w:lang w:eastAsia="it-IT"/>
                              </w:rPr>
                              <w:drawing>
                                <wp:inline distT="0" distB="0" distL="0" distR="0">
                                  <wp:extent cx="5541010" cy="3472815"/>
                                  <wp:effectExtent l="0" t="0" r="2540" b="0"/>
                                  <wp:docPr id="197" name="Immagine 197" descr="D:\Università\Tesi\Immagini\Crescita G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tà\Tesi\Immagini\Crescita GD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1010" cy="3472815"/>
                                          </a:xfrm>
                                          <a:prstGeom prst="rect">
                                            <a:avLst/>
                                          </a:prstGeom>
                                          <a:noFill/>
                                          <a:ln>
                                            <a:noFill/>
                                          </a:ln>
                                        </pic:spPr>
                                      </pic:pic>
                                    </a:graphicData>
                                  </a:graphic>
                                </wp:inline>
                              </w:drawing>
                            </w:r>
                          </w:p>
                          <w:p w:rsidR="00B63BAD" w:rsidRPr="00B12D0C" w:rsidRDefault="00B63BAD">
                            <w:pPr>
                              <w:rPr>
                                <w:sz w:val="20"/>
                              </w:rPr>
                            </w:pPr>
                            <w:proofErr w:type="spellStart"/>
                            <w:r w:rsidRPr="00B12D0C">
                              <w:rPr>
                                <w:b/>
                                <w:sz w:val="20"/>
                              </w:rPr>
                              <w:t>Fig</w:t>
                            </w:r>
                            <w:proofErr w:type="spellEnd"/>
                            <w:r w:rsidRPr="00B12D0C">
                              <w:rPr>
                                <w:b/>
                                <w:sz w:val="20"/>
                              </w:rPr>
                              <w:t xml:space="preserve"> 3.2.</w:t>
                            </w:r>
                            <w:r>
                              <w:rPr>
                                <w:b/>
                                <w:sz w:val="20"/>
                              </w:rPr>
                              <w:t>2</w:t>
                            </w:r>
                            <w:r w:rsidRPr="00B12D0C">
                              <w:rPr>
                                <w:sz w:val="20"/>
                              </w:rPr>
                              <w:t xml:space="preserve"> – </w:t>
                            </w:r>
                            <w:r w:rsidRPr="00B12D0C">
                              <w:rPr>
                                <w:i/>
                                <w:sz w:val="20"/>
                              </w:rPr>
                              <w:t>Crescita del PIL inglese comparato con gli altri stati del G7</w:t>
                            </w:r>
                          </w:p>
                          <w:p w:rsidR="00B63BAD" w:rsidRPr="00B12D0C" w:rsidRDefault="00B63BAD">
                            <w:pPr>
                              <w:rPr>
                                <w:i/>
                                <w:sz w:val="20"/>
                              </w:rPr>
                            </w:pPr>
                            <w:r w:rsidRPr="00B12D0C">
                              <w:rPr>
                                <w:i/>
                                <w:sz w:val="20"/>
                              </w:rPr>
                              <w:t>Fonte: organizzazione per la cooperazione economica e lo sviluppo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400.5pt;margin-top:28.75pt;width:451.7pt;height:333.1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" strokecolor="white [3212]">
                <v:textbox>
                  <w:txbxContent>
                    <w:p w:rsidR="00B63BAD" w:rsidRDefault="00B63BAD">
                      <w:r>
                        <w:rPr>
                          <w:noProof/>
                          <w:lang w:eastAsia="it-IT"/>
                        </w:rPr>
                        <w:drawing>
                          <wp:inline distT="0" distB="0" distL="0" distR="0">
                            <wp:extent cx="5541010" cy="3472815"/>
                            <wp:effectExtent l="0" t="0" r="2540" b="0"/>
                            <wp:docPr id="197" name="Immagine 197" descr="D:\Università\Tesi\Immagini\Crescita G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tà\Tesi\Immagini\Crescita GDP.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1010" cy="3472815"/>
                                    </a:xfrm>
                                    <a:prstGeom prst="rect">
                                      <a:avLst/>
                                    </a:prstGeom>
                                    <a:noFill/>
                                    <a:ln>
                                      <a:noFill/>
                                    </a:ln>
                                  </pic:spPr>
                                </pic:pic>
                              </a:graphicData>
                            </a:graphic>
                          </wp:inline>
                        </w:drawing>
                      </w:r>
                    </w:p>
                    <w:p w:rsidR="00B63BAD" w:rsidRPr="00B12D0C" w:rsidRDefault="00B63BAD">
                      <w:pPr>
                        <w:rPr>
                          <w:sz w:val="20"/>
                        </w:rPr>
                      </w:pPr>
                      <w:r w:rsidRPr="00B12D0C">
                        <w:rPr>
                          <w:b/>
                          <w:sz w:val="20"/>
                        </w:rPr>
                        <w:t>Fig 3.2.</w:t>
                      </w:r>
                      <w:r>
                        <w:rPr>
                          <w:b/>
                          <w:sz w:val="20"/>
                        </w:rPr>
                        <w:t>2</w:t>
                      </w:r>
                      <w:r w:rsidRPr="00B12D0C">
                        <w:rPr>
                          <w:sz w:val="20"/>
                        </w:rPr>
                        <w:t xml:space="preserve"> – </w:t>
                      </w:r>
                      <w:r w:rsidRPr="00B12D0C">
                        <w:rPr>
                          <w:i/>
                          <w:sz w:val="20"/>
                        </w:rPr>
                        <w:t>Crescita del PIL inglese comparato con gli altri stati del G7</w:t>
                      </w:r>
                    </w:p>
                    <w:p w:rsidR="00B63BAD" w:rsidRPr="00B12D0C" w:rsidRDefault="00B63BAD">
                      <w:pPr>
                        <w:rPr>
                          <w:i/>
                          <w:sz w:val="20"/>
                        </w:rPr>
                      </w:pPr>
                      <w:r w:rsidRPr="00B12D0C">
                        <w:rPr>
                          <w:i/>
                          <w:sz w:val="20"/>
                        </w:rPr>
                        <w:t>Fonte: organizzazione per la cooperazione economica e lo sviluppo</w:t>
                      </w:r>
                    </w:p>
                  </w:txbxContent>
                </v:textbox>
                <w10:wrap type="square" anchorx="margin"/>
              </v:shape>
            </w:pict>
          </mc:Fallback>
        </mc:AlternateContent>
      </w:r>
    </w:p>
    <w:p w:rsidR="00EE3192" w:rsidRDefault="00C6135C" w:rsidP="006D4D38">
      <w:pPr>
        <w:spacing w:line="360" w:lineRule="auto"/>
        <w:ind w:firstLine="397"/>
        <w:jc w:val="both"/>
        <w:rPr>
          <w:rFonts w:cs="Times New Roman"/>
          <w:sz w:val="24"/>
        </w:rPr>
      </w:pPr>
      <w:r>
        <w:rPr>
          <w:rFonts w:cs="Times New Roman"/>
          <w:sz w:val="24"/>
        </w:rPr>
        <w:t>Tenendo in considerazione anche questi rischi, la maggior parte degli economisti decide di riservare l’ottimismo a tempi più sicuri, avvertendo che probabilmente il futuro non sarà roseo come in questo periodo.</w:t>
      </w:r>
    </w:p>
    <w:p w:rsidR="004203A4" w:rsidRPr="006D4D38" w:rsidRDefault="004203A4" w:rsidP="006D4D38">
      <w:pPr>
        <w:spacing w:line="360" w:lineRule="auto"/>
        <w:ind w:firstLine="397"/>
        <w:jc w:val="both"/>
        <w:rPr>
          <w:rFonts w:cs="Times New Roman"/>
          <w:sz w:val="24"/>
        </w:rPr>
      </w:pPr>
      <w:r w:rsidRPr="006D4D38">
        <w:rPr>
          <w:rFonts w:cs="Times New Roman"/>
          <w:sz w:val="24"/>
        </w:rPr>
        <w:br w:type="page"/>
      </w:r>
    </w:p>
    <w:p w:rsidR="004203A4" w:rsidRDefault="00BA48E7" w:rsidP="00C6135C">
      <w:pPr>
        <w:pStyle w:val="Titolo2"/>
        <w:numPr>
          <w:ilvl w:val="1"/>
          <w:numId w:val="3"/>
        </w:numPr>
        <w:spacing w:line="360" w:lineRule="auto"/>
      </w:pPr>
      <w:bookmarkStart w:id="21" w:name="_Toc475559367"/>
      <w:r>
        <w:lastRenderedPageBreak/>
        <w:t>Consumi e debiti, binomio inglese</w:t>
      </w:r>
      <w:bookmarkEnd w:id="21"/>
      <w:r w:rsidR="000F3223">
        <w:t xml:space="preserve"> </w:t>
      </w:r>
    </w:p>
    <w:p w:rsidR="00B84145" w:rsidRDefault="00B84145" w:rsidP="00C6135C">
      <w:pPr>
        <w:spacing w:line="360" w:lineRule="auto"/>
        <w:ind w:firstLine="397"/>
        <w:jc w:val="both"/>
        <w:rPr>
          <w:rFonts w:cs="Times New Roman"/>
          <w:sz w:val="24"/>
        </w:rPr>
      </w:pPr>
    </w:p>
    <w:p w:rsidR="00AF7841" w:rsidRDefault="00AF7841" w:rsidP="00C6135C">
      <w:pPr>
        <w:spacing w:line="360" w:lineRule="auto"/>
        <w:ind w:firstLine="397"/>
        <w:jc w:val="both"/>
        <w:rPr>
          <w:rFonts w:cs="Times New Roman"/>
          <w:sz w:val="24"/>
        </w:rPr>
      </w:pPr>
      <w:r>
        <w:rPr>
          <w:rFonts w:cs="Times New Roman"/>
          <w:sz w:val="24"/>
        </w:rPr>
        <w:t>“Spendere di più per favorire lo Stato”, “un’espansione dei consumi porta alla crescita”, “se tutti spendessero l’economia ripartirebbe”. Tutte frasi corrette entro una certa misura come evidenzia l’andamento attuale dei consumi in Inghilterra.</w:t>
      </w:r>
    </w:p>
    <w:p w:rsidR="00EF461C" w:rsidRDefault="00EF461C" w:rsidP="00C6135C">
      <w:pPr>
        <w:spacing w:line="360" w:lineRule="auto"/>
        <w:ind w:firstLine="397"/>
        <w:jc w:val="both"/>
        <w:rPr>
          <w:rFonts w:cs="Times New Roman"/>
          <w:sz w:val="24"/>
        </w:rPr>
      </w:pPr>
      <w:r>
        <w:rPr>
          <w:rFonts w:cs="Times New Roman"/>
          <w:sz w:val="24"/>
        </w:rPr>
        <w:t>Evitando di analizzare l’economia sommersa poiché non necessaria in questa sede e anche per mancanza di strumenti di analisi adeguati, desidero iniziare l’analisi di questo paragrafo con una semplice frase: “meglio una gallina oggi o un uovo domani?”</w:t>
      </w:r>
    </w:p>
    <w:p w:rsidR="002A0935" w:rsidRDefault="00EF461C" w:rsidP="00C6135C">
      <w:pPr>
        <w:spacing w:line="360" w:lineRule="auto"/>
        <w:ind w:firstLine="397"/>
        <w:jc w:val="both"/>
        <w:rPr>
          <w:rFonts w:cs="Times New Roman"/>
          <w:sz w:val="24"/>
        </w:rPr>
      </w:pPr>
      <w:r>
        <w:rPr>
          <w:rFonts w:cs="Times New Roman"/>
          <w:sz w:val="24"/>
        </w:rPr>
        <w:t xml:space="preserve">Sfruttando i due paragrafi precedenti sappiamo che il PIL e l’occupazione sono </w:t>
      </w:r>
      <w:r w:rsidR="002A0935">
        <w:rPr>
          <w:rFonts w:cs="Times New Roman"/>
          <w:sz w:val="24"/>
        </w:rPr>
        <w:t>aumentati</w:t>
      </w:r>
      <w:r>
        <w:rPr>
          <w:rFonts w:cs="Times New Roman"/>
          <w:sz w:val="24"/>
        </w:rPr>
        <w:t xml:space="preserve"> ma i salari non hanno registrato la stessa velocità di crescita.</w:t>
      </w:r>
      <w:r w:rsidR="002A0935">
        <w:rPr>
          <w:rFonts w:cs="Times New Roman"/>
          <w:sz w:val="24"/>
        </w:rPr>
        <w:t xml:space="preserve"> La crescita dei consumi così inaspettata vede tra le sue cause quella della bassa percezione dei rischi derivanti dalla </w:t>
      </w:r>
      <w:r w:rsidR="00B406A5">
        <w:rPr>
          <w:rFonts w:cs="Times New Roman"/>
          <w:sz w:val="24"/>
        </w:rPr>
        <w:t>Brexit</w:t>
      </w:r>
      <w:r w:rsidR="002A0935">
        <w:rPr>
          <w:rFonts w:cs="Times New Roman"/>
          <w:sz w:val="24"/>
        </w:rPr>
        <w:t xml:space="preserve"> da parte dei cittadini la quale, pur non essendo intrinsecamente negativa, rischia di richiedere il suo prezzo nel medio termine.</w:t>
      </w:r>
    </w:p>
    <w:p w:rsidR="00653C2A" w:rsidRDefault="002A0935" w:rsidP="00C6135C">
      <w:pPr>
        <w:spacing w:line="360" w:lineRule="auto"/>
        <w:ind w:firstLine="397"/>
        <w:jc w:val="both"/>
        <w:rPr>
          <w:rFonts w:cs="Times New Roman"/>
          <w:sz w:val="24"/>
        </w:rPr>
      </w:pPr>
      <w:r>
        <w:rPr>
          <w:rFonts w:cs="Times New Roman"/>
          <w:sz w:val="24"/>
        </w:rPr>
        <w:t xml:space="preserve">Da dove arriva questa spinta dei consumi? Dall’erosione dei risparmi </w:t>
      </w:r>
      <w:r w:rsidR="00653C2A">
        <w:rPr>
          <w:rFonts w:cs="Times New Roman"/>
          <w:sz w:val="24"/>
        </w:rPr>
        <w:t>e dall’indebitamento dei cittadini, aumentato del 10%, un aumento mai visto dal 2005. L’espansione di oggi è quindi la probabile contrazione di domani in quanto i debiti andranno ripagati nonostante i salari relativamente diminuiti rispetto all’aumento dei prezzi.</w:t>
      </w:r>
    </w:p>
    <w:p w:rsidR="00DF5929" w:rsidRDefault="00653C2A" w:rsidP="00C6135C">
      <w:pPr>
        <w:spacing w:line="360" w:lineRule="auto"/>
        <w:ind w:firstLine="397"/>
        <w:jc w:val="both"/>
        <w:rPr>
          <w:rFonts w:cs="Times New Roman"/>
          <w:sz w:val="24"/>
        </w:rPr>
      </w:pPr>
      <w:r>
        <w:rPr>
          <w:rFonts w:cs="Times New Roman"/>
          <w:sz w:val="24"/>
        </w:rPr>
        <w:t>Al momento la speranza è che lo Stato sappia capitalizzare questo aumento in maniera efficace, sfruttando il trend positivo attuale come leva per migliorare la condizione economica dei cittadini.</w:t>
      </w:r>
    </w:p>
    <w:p w:rsidR="001E1977" w:rsidRDefault="00DF5929" w:rsidP="00C6135C">
      <w:pPr>
        <w:spacing w:line="360" w:lineRule="auto"/>
        <w:ind w:firstLine="397"/>
        <w:jc w:val="both"/>
        <w:rPr>
          <w:rFonts w:cs="Times New Roman"/>
          <w:sz w:val="24"/>
        </w:rPr>
      </w:pPr>
      <w:r>
        <w:rPr>
          <w:rFonts w:cs="Times New Roman"/>
          <w:sz w:val="24"/>
        </w:rPr>
        <w:t>È necessario segnalare anche che, come riportato dal report del WEF citato al paragrafo 3.1, la distribuzione del reddito e della ricchezza non è ottimale (indice di Gini</w:t>
      </w:r>
      <w:r>
        <w:rPr>
          <w:rStyle w:val="Rimandonotaapidipagina"/>
          <w:rFonts w:cs="Times New Roman"/>
          <w:sz w:val="24"/>
        </w:rPr>
        <w:footnoteReference w:id="13"/>
      </w:r>
      <w:r>
        <w:rPr>
          <w:rFonts w:cs="Times New Roman"/>
          <w:sz w:val="24"/>
        </w:rPr>
        <w:t xml:space="preserve"> relativamente 32,7 e 73,2), implicando quindi che l’indebitamento rischia di peggiorare una situazione già a rischio.</w:t>
      </w:r>
    </w:p>
    <w:p w:rsidR="001E1977" w:rsidRDefault="001E1977">
      <w:pPr>
        <w:rPr>
          <w:rFonts w:cs="Times New Roman"/>
          <w:sz w:val="24"/>
        </w:rPr>
      </w:pPr>
      <w:r>
        <w:rPr>
          <w:rFonts w:cs="Times New Roman"/>
          <w:sz w:val="24"/>
        </w:rPr>
        <w:br w:type="page"/>
      </w:r>
    </w:p>
    <w:p w:rsidR="00E837E4" w:rsidRDefault="002D5F7C" w:rsidP="00E837E4">
      <w:pPr>
        <w:pStyle w:val="Titolo2"/>
        <w:numPr>
          <w:ilvl w:val="1"/>
          <w:numId w:val="3"/>
        </w:numPr>
        <w:spacing w:line="360" w:lineRule="auto"/>
      </w:pPr>
      <w:bookmarkStart w:id="22" w:name="_Toc475559368"/>
      <w:r>
        <w:lastRenderedPageBreak/>
        <w:t xml:space="preserve">La </w:t>
      </w:r>
      <w:r w:rsidR="00B406A5">
        <w:t>Brexit</w:t>
      </w:r>
      <w:r>
        <w:t xml:space="preserve"> nella vita di tutti i giorni</w:t>
      </w:r>
      <w:bookmarkEnd w:id="22"/>
    </w:p>
    <w:p w:rsidR="00B84145" w:rsidRDefault="00B84145" w:rsidP="00E837E4">
      <w:pPr>
        <w:spacing w:line="360" w:lineRule="auto"/>
        <w:ind w:firstLine="397"/>
        <w:jc w:val="both"/>
        <w:rPr>
          <w:rFonts w:cs="Times New Roman"/>
          <w:sz w:val="24"/>
        </w:rPr>
      </w:pPr>
    </w:p>
    <w:p w:rsidR="00C9406F" w:rsidRDefault="00807CAA" w:rsidP="00E837E4">
      <w:pPr>
        <w:spacing w:line="360" w:lineRule="auto"/>
        <w:ind w:firstLine="397"/>
        <w:jc w:val="both"/>
        <w:rPr>
          <w:rFonts w:cs="Times New Roman"/>
          <w:sz w:val="24"/>
        </w:rPr>
      </w:pPr>
      <w:r>
        <w:rPr>
          <w:rFonts w:cs="Times New Roman"/>
          <w:sz w:val="24"/>
        </w:rPr>
        <w:t xml:space="preserve">Fino ad ora abbiamo trattato dei riflessi finanziari e reali della </w:t>
      </w:r>
      <w:r w:rsidR="00B406A5">
        <w:rPr>
          <w:rFonts w:cs="Times New Roman"/>
          <w:sz w:val="24"/>
        </w:rPr>
        <w:t>Brexit</w:t>
      </w:r>
      <w:r>
        <w:rPr>
          <w:rFonts w:cs="Times New Roman"/>
          <w:sz w:val="24"/>
        </w:rPr>
        <w:t>, raramente evidenziando gli effetti che possono essere percepiti direttamente dal cittadino medio se non</w:t>
      </w:r>
      <w:r w:rsidR="00625025">
        <w:rPr>
          <w:rFonts w:cs="Times New Roman"/>
          <w:sz w:val="24"/>
        </w:rPr>
        <w:t xml:space="preserve"> tramite la lettura delle notizie. In questo paragrafo verranno riassunti alcuni effetti “a percezione diretta” per evidenziare come </w:t>
      </w:r>
      <w:r w:rsidR="00B406A5">
        <w:rPr>
          <w:rFonts w:cs="Times New Roman"/>
          <w:sz w:val="24"/>
        </w:rPr>
        <w:t>Brexit</w:t>
      </w:r>
      <w:r w:rsidR="00625025">
        <w:rPr>
          <w:rFonts w:cs="Times New Roman"/>
          <w:sz w:val="24"/>
        </w:rPr>
        <w:t xml:space="preserve"> non sia una parola lontana dall’individuo comune.</w:t>
      </w:r>
    </w:p>
    <w:p w:rsidR="00BA6A27" w:rsidRDefault="00C9406F" w:rsidP="00C9406F">
      <w:pPr>
        <w:spacing w:line="360" w:lineRule="auto"/>
        <w:ind w:firstLine="397"/>
        <w:jc w:val="both"/>
        <w:rPr>
          <w:rFonts w:cs="Times New Roman"/>
          <w:sz w:val="24"/>
        </w:rPr>
      </w:pPr>
      <w:r>
        <w:rPr>
          <w:rFonts w:cs="Times New Roman"/>
          <w:sz w:val="24"/>
        </w:rPr>
        <w:t xml:space="preserve">Novembre, la </w:t>
      </w:r>
      <w:r w:rsidRPr="00C9406F">
        <w:rPr>
          <w:rFonts w:cs="Times New Roman"/>
          <w:sz w:val="24"/>
        </w:rPr>
        <w:t>Mondelēz International</w:t>
      </w:r>
      <w:r>
        <w:rPr>
          <w:rFonts w:cs="Times New Roman"/>
          <w:sz w:val="24"/>
        </w:rPr>
        <w:t xml:space="preserve"> inizia a sentire qualche scricchiolio nei propri bilanci. Alla ricerca di una possibile causa nota che le materie prime della filiale inglese hanno subito un rincaro a causa del crollo della sterlina. Il problema si concretizza in una scelta di Sophie per l’impresa: </w:t>
      </w:r>
      <w:r w:rsidR="00BA6A27">
        <w:rPr>
          <w:rFonts w:cs="Times New Roman"/>
          <w:sz w:val="24"/>
        </w:rPr>
        <w:t>agire sul prezzo o sulla quantità? La risposta segue la seconda possibilità. L’8 novembre gli inglesi vedono il Toblerone tanto amato perdere il 10% della sua massa a parità di prezzo.</w:t>
      </w:r>
    </w:p>
    <w:p w:rsidR="00BA6A27" w:rsidRDefault="00BA6A27" w:rsidP="00C9406F">
      <w:pPr>
        <w:spacing w:line="360" w:lineRule="auto"/>
        <w:ind w:firstLine="397"/>
        <w:jc w:val="both"/>
        <w:rPr>
          <w:rFonts w:cs="Times New Roman"/>
          <w:sz w:val="24"/>
        </w:rPr>
      </w:pPr>
      <w:r>
        <w:rPr>
          <w:rFonts w:cs="Times New Roman"/>
          <w:sz w:val="24"/>
        </w:rPr>
        <w:t xml:space="preserve">Apple, multinazionale che tanto deve all’Irlanda, decide che il suo target di profitto non deve risentire della </w:t>
      </w:r>
      <w:r w:rsidR="00B406A5">
        <w:rPr>
          <w:rFonts w:cs="Times New Roman"/>
          <w:sz w:val="24"/>
        </w:rPr>
        <w:t>Brexit</w:t>
      </w:r>
      <w:r>
        <w:rPr>
          <w:rFonts w:cs="Times New Roman"/>
          <w:sz w:val="24"/>
        </w:rPr>
        <w:t>. Questa decisione si concretizza in due momenti: a settembre, con l’uscita del nuovo iPhone, si evidenzia un rincaro del nuovo prodotto e degli accessori dall’11% al 15%</w:t>
      </w:r>
      <w:r w:rsidR="00C9406F">
        <w:rPr>
          <w:rFonts w:cs="Times New Roman"/>
          <w:sz w:val="24"/>
        </w:rPr>
        <w:tab/>
      </w:r>
      <w:r>
        <w:rPr>
          <w:rFonts w:cs="Times New Roman"/>
          <w:sz w:val="24"/>
        </w:rPr>
        <w:t xml:space="preserve"> mentre a gennaio l’app store vede tutte le sue app con anche gli acquisti all’interno di queste subire un aumento dei prezzi.</w:t>
      </w:r>
    </w:p>
    <w:p w:rsidR="00973EF5" w:rsidRDefault="00BA6A27" w:rsidP="00C9406F">
      <w:pPr>
        <w:spacing w:line="360" w:lineRule="auto"/>
        <w:ind w:firstLine="397"/>
        <w:jc w:val="both"/>
        <w:rPr>
          <w:rFonts w:cs="Times New Roman"/>
          <w:sz w:val="24"/>
        </w:rPr>
      </w:pPr>
      <w:r>
        <w:rPr>
          <w:rFonts w:cs="Times New Roman"/>
          <w:sz w:val="24"/>
        </w:rPr>
        <w:t>Stessa politica è stata adottata da altre imprese tecnologiche come H</w:t>
      </w:r>
      <w:r w:rsidR="00487F95">
        <w:rPr>
          <w:rFonts w:cs="Times New Roman"/>
          <w:sz w:val="24"/>
        </w:rPr>
        <w:t>P</w:t>
      </w:r>
      <w:r>
        <w:rPr>
          <w:rFonts w:cs="Times New Roman"/>
          <w:sz w:val="24"/>
        </w:rPr>
        <w:t>, HTC e Dell. Microsoft, azienda sempre stata a favore della permanenza all’interno dell’UE, ha rincarato i propri prodotti in media del 13</w:t>
      </w:r>
      <w:r w:rsidR="00772C59">
        <w:rPr>
          <w:rFonts w:cs="Times New Roman"/>
          <w:sz w:val="24"/>
        </w:rPr>
        <w:t>%, arrivando al 22% per i servizi cloud enterprise. Questo secondo dato è molto importante poiché proprio i servizi online sono una categoria merceologica importante per la nuova Inghilterra, risentendo minimamente del rincaro dei prezzi in confronto ad altri settori.</w:t>
      </w:r>
    </w:p>
    <w:p w:rsidR="00DC3B11" w:rsidRDefault="00973EF5" w:rsidP="00C9406F">
      <w:pPr>
        <w:spacing w:line="360" w:lineRule="auto"/>
        <w:ind w:firstLine="397"/>
        <w:jc w:val="both"/>
        <w:rPr>
          <w:rFonts w:cs="Times New Roman"/>
          <w:sz w:val="24"/>
        </w:rPr>
      </w:pPr>
      <w:r>
        <w:rPr>
          <w:rFonts w:cs="Times New Roman"/>
          <w:sz w:val="24"/>
        </w:rPr>
        <w:t xml:space="preserve">Toyota ha comunicato a gennaio che, a causa della scelta di una “hard </w:t>
      </w:r>
      <w:r w:rsidR="00B406A5">
        <w:rPr>
          <w:rFonts w:cs="Times New Roman"/>
          <w:sz w:val="24"/>
        </w:rPr>
        <w:t>Brexit</w:t>
      </w:r>
      <w:r>
        <w:rPr>
          <w:rFonts w:cs="Times New Roman"/>
          <w:sz w:val="24"/>
        </w:rPr>
        <w:t xml:space="preserve">” da parte del governo </w:t>
      </w:r>
      <w:proofErr w:type="spellStart"/>
      <w:r>
        <w:rPr>
          <w:rFonts w:cs="Times New Roman"/>
          <w:sz w:val="24"/>
        </w:rPr>
        <w:t>May</w:t>
      </w:r>
      <w:proofErr w:type="spellEnd"/>
      <w:r>
        <w:rPr>
          <w:rFonts w:cs="Times New Roman"/>
          <w:sz w:val="24"/>
        </w:rPr>
        <w:t xml:space="preserve">, le proprie aziende rischiano di perdere competitività sul territorio britannico, traducibile in un possibile trasferimento degli impianti in altra sede. Questa frase potrebbe essere un tentativo per ottenere gli stessi </w:t>
      </w:r>
      <w:r w:rsidR="002D5F7C">
        <w:rPr>
          <w:rFonts w:cs="Times New Roman"/>
          <w:sz w:val="24"/>
        </w:rPr>
        <w:t>incentivi</w:t>
      </w:r>
      <w:r>
        <w:rPr>
          <w:rFonts w:cs="Times New Roman"/>
          <w:sz w:val="24"/>
        </w:rPr>
        <w:t xml:space="preserve"> </w:t>
      </w:r>
      <w:r w:rsidR="002D5F7C">
        <w:rPr>
          <w:rFonts w:cs="Times New Roman"/>
          <w:sz w:val="24"/>
        </w:rPr>
        <w:t xml:space="preserve">ottenuti da Nissan </w:t>
      </w:r>
      <w:r>
        <w:rPr>
          <w:rFonts w:cs="Times New Roman"/>
          <w:sz w:val="24"/>
        </w:rPr>
        <w:t>con</w:t>
      </w:r>
      <w:r w:rsidR="002D5F7C">
        <w:rPr>
          <w:rFonts w:cs="Times New Roman"/>
          <w:sz w:val="24"/>
        </w:rPr>
        <w:t xml:space="preserve">sistenti, probabilmente, in vantaggi fiscali in cambio della permanenza delle industrie. Questo patto è recentemente messo in dubbio da </w:t>
      </w:r>
      <w:r w:rsidR="002D5F7C" w:rsidRPr="002D5F7C">
        <w:rPr>
          <w:rFonts w:cs="Times New Roman"/>
          <w:sz w:val="24"/>
        </w:rPr>
        <w:t xml:space="preserve">Carlos </w:t>
      </w:r>
      <w:proofErr w:type="spellStart"/>
      <w:r w:rsidR="002D5F7C" w:rsidRPr="002D5F7C">
        <w:rPr>
          <w:rFonts w:cs="Times New Roman"/>
          <w:sz w:val="24"/>
        </w:rPr>
        <w:t>Ghosn</w:t>
      </w:r>
      <w:proofErr w:type="spellEnd"/>
      <w:r w:rsidR="002D5F7C">
        <w:rPr>
          <w:rFonts w:cs="Times New Roman"/>
          <w:sz w:val="24"/>
        </w:rPr>
        <w:t>, amministratore delegato di Renault e Nissan, il quale ha dichiarato che la situazione verrà rivalutata successivamente alla pubblicazione degli accordi per l’uscita dal mercato unico.</w:t>
      </w:r>
      <w:r w:rsidR="00DC3B11">
        <w:rPr>
          <w:rFonts w:cs="Times New Roman"/>
          <w:sz w:val="24"/>
        </w:rPr>
        <w:t xml:space="preserve"> Tutto questo si tradurrebbe in perdita di posti di lavoro per gli </w:t>
      </w:r>
      <w:r w:rsidR="00DC3B11">
        <w:rPr>
          <w:rFonts w:cs="Times New Roman"/>
          <w:sz w:val="24"/>
        </w:rPr>
        <w:lastRenderedPageBreak/>
        <w:t>inglesi e perdita di parte del mercato automobilistico, prima voce dell’export inglese come visto al paragrafo 2.2.</w:t>
      </w:r>
    </w:p>
    <w:p w:rsidR="00402E6A" w:rsidRDefault="00DC3B11" w:rsidP="00C9406F">
      <w:pPr>
        <w:spacing w:line="360" w:lineRule="auto"/>
        <w:ind w:firstLine="397"/>
        <w:jc w:val="both"/>
        <w:rPr>
          <w:rFonts w:cs="Times New Roman"/>
          <w:sz w:val="24"/>
        </w:rPr>
      </w:pPr>
      <w:r>
        <w:rPr>
          <w:rFonts w:cs="Times New Roman"/>
          <w:sz w:val="24"/>
        </w:rPr>
        <w:t xml:space="preserve">In aggiunta alla possibile perdita di posti di lavoro, la </w:t>
      </w:r>
      <w:r w:rsidR="00B406A5">
        <w:rPr>
          <w:rFonts w:cs="Times New Roman"/>
          <w:sz w:val="24"/>
        </w:rPr>
        <w:t>Brexit</w:t>
      </w:r>
      <w:r>
        <w:rPr>
          <w:rFonts w:cs="Times New Roman"/>
          <w:sz w:val="24"/>
        </w:rPr>
        <w:t xml:space="preserve"> ha reso oneroso anche lo spostarsi per raggiungere la propria sede lavorativa. È notizia di inizio anno che </w:t>
      </w:r>
      <w:r w:rsidR="00863C2A">
        <w:rPr>
          <w:rFonts w:cs="Times New Roman"/>
          <w:sz w:val="24"/>
        </w:rPr>
        <w:t xml:space="preserve">a causa della sinergia tra svalutazione e inflazione, il prezzo dei biglietti e degli abbonamenti ferroviari ha subito un rincaro del 14%, circa sei volte in più rispetto a quanto accaduto in Italia. Questo aumento va a sommarsi a prezzi già alti, eredità della privatizzazione totale del trasporto ferroviario da parte del governo Thatcher. “In alcuni casi il costo del viaggio, al minuto, arriva a toccare i 27 </w:t>
      </w:r>
      <w:proofErr w:type="spellStart"/>
      <w:r w:rsidR="00863C2A">
        <w:rPr>
          <w:rFonts w:cs="Times New Roman"/>
          <w:sz w:val="24"/>
        </w:rPr>
        <w:t>pence</w:t>
      </w:r>
      <w:proofErr w:type="spellEnd"/>
      <w:r w:rsidR="00863C2A">
        <w:rPr>
          <w:rFonts w:cs="Times New Roman"/>
          <w:sz w:val="24"/>
        </w:rPr>
        <w:t xml:space="preserve"> (32 centesimi di euro)” segnala </w:t>
      </w:r>
      <w:proofErr w:type="spellStart"/>
      <w:r w:rsidR="00863C2A">
        <w:rPr>
          <w:rFonts w:cs="Times New Roman"/>
          <w:sz w:val="24"/>
        </w:rPr>
        <w:t>Lianna</w:t>
      </w:r>
      <w:proofErr w:type="spellEnd"/>
      <w:r w:rsidR="00863C2A">
        <w:rPr>
          <w:rFonts w:cs="Times New Roman"/>
          <w:sz w:val="24"/>
        </w:rPr>
        <w:t xml:space="preserve"> </w:t>
      </w:r>
      <w:proofErr w:type="spellStart"/>
      <w:r w:rsidR="00863C2A">
        <w:rPr>
          <w:rFonts w:cs="Times New Roman"/>
          <w:sz w:val="24"/>
        </w:rPr>
        <w:t>Etkind</w:t>
      </w:r>
      <w:proofErr w:type="spellEnd"/>
      <w:r w:rsidR="00863C2A">
        <w:rPr>
          <w:rFonts w:cs="Times New Roman"/>
          <w:sz w:val="24"/>
        </w:rPr>
        <w:t xml:space="preserve"> dell’associazione </w:t>
      </w:r>
      <w:proofErr w:type="spellStart"/>
      <w:r w:rsidR="00863C2A">
        <w:rPr>
          <w:rFonts w:cs="Times New Roman"/>
          <w:sz w:val="24"/>
        </w:rPr>
        <w:t>Campaign</w:t>
      </w:r>
      <w:proofErr w:type="spellEnd"/>
      <w:r w:rsidR="00863C2A">
        <w:rPr>
          <w:rFonts w:cs="Times New Roman"/>
          <w:sz w:val="24"/>
        </w:rPr>
        <w:t xml:space="preserve"> for </w:t>
      </w:r>
      <w:proofErr w:type="spellStart"/>
      <w:r w:rsidR="00863C2A">
        <w:rPr>
          <w:rFonts w:cs="Times New Roman"/>
          <w:sz w:val="24"/>
        </w:rPr>
        <w:t>Better</w:t>
      </w:r>
      <w:proofErr w:type="spellEnd"/>
      <w:r w:rsidR="00863C2A">
        <w:rPr>
          <w:rFonts w:cs="Times New Roman"/>
          <w:sz w:val="24"/>
        </w:rPr>
        <w:t xml:space="preserve"> </w:t>
      </w:r>
      <w:proofErr w:type="spellStart"/>
      <w:r w:rsidR="00863C2A">
        <w:rPr>
          <w:rFonts w:cs="Times New Roman"/>
          <w:sz w:val="24"/>
        </w:rPr>
        <w:t>Transport</w:t>
      </w:r>
      <w:proofErr w:type="spellEnd"/>
      <w:r w:rsidR="00863C2A">
        <w:rPr>
          <w:rStyle w:val="Rimandonotaapidipagina"/>
          <w:rFonts w:cs="Times New Roman"/>
          <w:sz w:val="24"/>
        </w:rPr>
        <w:footnoteReference w:id="14"/>
      </w:r>
      <w:r w:rsidR="000D49C8">
        <w:rPr>
          <w:rFonts w:cs="Times New Roman"/>
          <w:sz w:val="24"/>
        </w:rPr>
        <w:t>.</w:t>
      </w:r>
    </w:p>
    <w:p w:rsidR="00402E6A" w:rsidRDefault="00402E6A">
      <w:pPr>
        <w:rPr>
          <w:rFonts w:cs="Times New Roman"/>
          <w:sz w:val="24"/>
        </w:rPr>
      </w:pPr>
      <w:r>
        <w:rPr>
          <w:rFonts w:cs="Times New Roman"/>
          <w:sz w:val="24"/>
        </w:rPr>
        <w:br w:type="page"/>
      </w:r>
    </w:p>
    <w:p w:rsidR="004203A4" w:rsidRPr="00C9406F" w:rsidRDefault="004203A4" w:rsidP="00C9406F">
      <w:pPr>
        <w:spacing w:line="360" w:lineRule="auto"/>
        <w:ind w:firstLine="397"/>
        <w:jc w:val="both"/>
        <w:rPr>
          <w:rFonts w:cs="Times New Roman"/>
          <w:sz w:val="24"/>
        </w:rPr>
      </w:pPr>
      <w:r w:rsidRPr="00C9406F">
        <w:rPr>
          <w:rFonts w:cs="Times New Roman"/>
          <w:sz w:val="24"/>
        </w:rPr>
        <w:lastRenderedPageBreak/>
        <w:br w:type="page"/>
      </w:r>
    </w:p>
    <w:p w:rsidR="002A08E8" w:rsidRPr="002A08E8" w:rsidRDefault="004203A4" w:rsidP="002A08E8">
      <w:pPr>
        <w:pStyle w:val="Titolo1"/>
        <w:numPr>
          <w:ilvl w:val="0"/>
          <w:numId w:val="3"/>
        </w:numPr>
        <w:spacing w:line="360" w:lineRule="auto"/>
        <w:rPr>
          <w:sz w:val="24"/>
          <w:szCs w:val="28"/>
        </w:rPr>
      </w:pPr>
      <w:bookmarkStart w:id="23" w:name="_Toc475559369"/>
      <w:r>
        <w:lastRenderedPageBreak/>
        <w:t>Conclusioni</w:t>
      </w:r>
      <w:bookmarkEnd w:id="23"/>
    </w:p>
    <w:p w:rsidR="00B84145" w:rsidRDefault="00B84145" w:rsidP="002A08E8">
      <w:pPr>
        <w:spacing w:line="360" w:lineRule="auto"/>
        <w:ind w:firstLine="397"/>
        <w:jc w:val="both"/>
        <w:rPr>
          <w:rFonts w:cs="Times New Roman"/>
          <w:sz w:val="24"/>
        </w:rPr>
      </w:pPr>
    </w:p>
    <w:p w:rsidR="00535E0B" w:rsidRDefault="00B1654E" w:rsidP="002A08E8">
      <w:pPr>
        <w:spacing w:line="360" w:lineRule="auto"/>
        <w:ind w:firstLine="397"/>
        <w:jc w:val="both"/>
        <w:rPr>
          <w:rFonts w:cs="Times New Roman"/>
          <w:sz w:val="24"/>
        </w:rPr>
      </w:pPr>
      <w:r>
        <w:rPr>
          <w:rFonts w:cs="Times New Roman"/>
          <w:sz w:val="24"/>
        </w:rPr>
        <w:t xml:space="preserve">Per concludere questa </w:t>
      </w:r>
      <w:r w:rsidR="00825606">
        <w:rPr>
          <w:rFonts w:cs="Times New Roman"/>
          <w:sz w:val="24"/>
        </w:rPr>
        <w:t>trattazione</w:t>
      </w:r>
      <w:r>
        <w:rPr>
          <w:rFonts w:cs="Times New Roman"/>
          <w:sz w:val="24"/>
        </w:rPr>
        <w:t xml:space="preserve"> desidero, </w:t>
      </w:r>
      <w:r w:rsidR="00535E0B">
        <w:rPr>
          <w:rFonts w:cs="Times New Roman"/>
          <w:sz w:val="24"/>
        </w:rPr>
        <w:t>entro le mie possibilità, riassumere quanto trattato in questo elaborato e proporre un pensiero personale.</w:t>
      </w:r>
    </w:p>
    <w:p w:rsidR="00414A5D" w:rsidRDefault="00535E0B" w:rsidP="002A08E8">
      <w:pPr>
        <w:spacing w:line="360" w:lineRule="auto"/>
        <w:ind w:firstLine="397"/>
        <w:jc w:val="both"/>
        <w:rPr>
          <w:rFonts w:cs="Times New Roman"/>
          <w:sz w:val="24"/>
        </w:rPr>
      </w:pPr>
      <w:r>
        <w:rPr>
          <w:rFonts w:cs="Times New Roman"/>
          <w:sz w:val="24"/>
        </w:rPr>
        <w:t>Nel primo capitolo abbiamo ripercorso la Storia dell’Unione Europea, le sue origini cariche di speranza, i progetti ambiziosi perseguiti e le divisioni interne che, purtroppo ancora oggi, minano la coesione di un’unione che rischia di essere sempre più monetaria a discapito del suo spirito di fratellanza e di reciproco aiuto. Abbiamo evidenziato quanto la politica possa non essere a favore del popolo ma professata in funzione dei voti e come questi ideali così farraginosi possano ritorcersi contro gli stessi promotori. Infine</w:t>
      </w:r>
      <w:r w:rsidR="00366F51">
        <w:rPr>
          <w:rFonts w:cs="Times New Roman"/>
          <w:sz w:val="24"/>
        </w:rPr>
        <w:t xml:space="preserve"> è stato evidenziato che </w:t>
      </w:r>
      <w:r>
        <w:rPr>
          <w:rFonts w:cs="Times New Roman"/>
          <w:sz w:val="24"/>
        </w:rPr>
        <w:t xml:space="preserve">la politica </w:t>
      </w:r>
      <w:r w:rsidR="00366F51">
        <w:rPr>
          <w:rFonts w:cs="Times New Roman"/>
          <w:sz w:val="24"/>
        </w:rPr>
        <w:t xml:space="preserve">spesso rischia di semplificare, se non addirittura mistificare, le conseguenze delle proprie azioni e come queste vengano ignorante da coloro che </w:t>
      </w:r>
      <w:r w:rsidR="00414A5D">
        <w:rPr>
          <w:rFonts w:cs="Times New Roman"/>
          <w:sz w:val="24"/>
        </w:rPr>
        <w:t xml:space="preserve">non </w:t>
      </w:r>
      <w:r w:rsidR="00366F51">
        <w:rPr>
          <w:rFonts w:cs="Times New Roman"/>
          <w:sz w:val="24"/>
        </w:rPr>
        <w:t>si interessano alla politica se non nei termini delle elezioni.</w:t>
      </w:r>
    </w:p>
    <w:p w:rsidR="00414A5D" w:rsidRDefault="00414A5D" w:rsidP="002A08E8">
      <w:pPr>
        <w:spacing w:line="360" w:lineRule="auto"/>
        <w:ind w:firstLine="397"/>
        <w:jc w:val="both"/>
        <w:rPr>
          <w:rFonts w:cs="Times New Roman"/>
          <w:sz w:val="24"/>
        </w:rPr>
      </w:pPr>
      <w:r>
        <w:rPr>
          <w:rFonts w:cs="Times New Roman"/>
          <w:sz w:val="24"/>
        </w:rPr>
        <w:t xml:space="preserve">Nel secondo capitolo abbiamo trattato i possibili scenari futuri che si apriranno all’Inghilterra e come questa necessiti un proprio rilancio sul mercato estero dopo anni di deficit commerciale sempre più evidente. Abbiamo visto come un evento in Europa possa riflettersi, attraverso i canali più impensabili, al resto del mondo, esempio del fatto che l’economia mondiale non sia più composta da monadi ma da un arcipelago in simbiosi. Infine abbiamo discusso di come l’Inghilterra, nella sua ricerca di un’indipendenza tanto agognata, non abbia tenuto in considerazione i </w:t>
      </w:r>
      <w:r w:rsidR="00310916">
        <w:rPr>
          <w:rFonts w:cs="Times New Roman"/>
          <w:sz w:val="24"/>
        </w:rPr>
        <w:t>conti</w:t>
      </w:r>
      <w:r>
        <w:rPr>
          <w:rFonts w:cs="Times New Roman"/>
          <w:sz w:val="24"/>
        </w:rPr>
        <w:t xml:space="preserve"> della propria amministrazione pubblica.</w:t>
      </w:r>
    </w:p>
    <w:p w:rsidR="00A61CB8" w:rsidRDefault="00414A5D" w:rsidP="002A08E8">
      <w:pPr>
        <w:spacing w:line="360" w:lineRule="auto"/>
        <w:ind w:firstLine="397"/>
        <w:jc w:val="both"/>
        <w:rPr>
          <w:rFonts w:cs="Times New Roman"/>
          <w:sz w:val="24"/>
        </w:rPr>
      </w:pPr>
      <w:r>
        <w:rPr>
          <w:rFonts w:cs="Times New Roman"/>
          <w:sz w:val="24"/>
        </w:rPr>
        <w:t>Nel terzo capitolo abbiamo parlato dei dati “tangibili” d</w:t>
      </w:r>
      <w:r w:rsidR="00A61CB8">
        <w:rPr>
          <w:rFonts w:cs="Times New Roman"/>
          <w:sz w:val="24"/>
        </w:rPr>
        <w:t>ai cittadini, di occupazione, PIL e consumi che hanno sconfitto, per ora, le aspettative più negative ma che ancora non disperdono la nebbia che avvolge i prossimi due anni di contrattazione tra Inghilterra ed Europa.</w:t>
      </w:r>
    </w:p>
    <w:p w:rsidR="00371398" w:rsidRDefault="001F37B5" w:rsidP="002A08E8">
      <w:pPr>
        <w:spacing w:line="360" w:lineRule="auto"/>
        <w:ind w:firstLine="397"/>
        <w:jc w:val="both"/>
        <w:rPr>
          <w:rFonts w:cs="Times New Roman"/>
          <w:sz w:val="24"/>
        </w:rPr>
      </w:pPr>
      <w:r>
        <w:rPr>
          <w:rFonts w:cs="Times New Roman"/>
          <w:sz w:val="24"/>
        </w:rPr>
        <w:t>Affacciandoci ora al 2017, non possiamo che porci una semplice domand</w:t>
      </w:r>
      <w:r w:rsidR="00A046CD">
        <w:rPr>
          <w:rFonts w:cs="Times New Roman"/>
          <w:sz w:val="24"/>
        </w:rPr>
        <w:t>a: stiamo assistendo alla caduta dei pilastri di unità e coesione che, fino ad ora, ci hanno sostenuto? Questa domanda viene posta anche alla luce dei primi giorni di insediamento a Washington del nuovo Presidente degli Stati Uniti</w:t>
      </w:r>
      <w:r w:rsidR="00371398">
        <w:rPr>
          <w:rFonts w:cs="Times New Roman"/>
          <w:sz w:val="24"/>
        </w:rPr>
        <w:t xml:space="preserve"> le cui politiche, sempre più indirizzate al protezionismo e all’esaltazione del singolo potere rispetto alla partecipazione, rischiano di essere un rischio anche per i suoi partner commerciali e militari. Gli occhi sono puntati verso le economie emergenti e la Cina i cui mercati potrebbero fornire un nuovo stimolo al resto del mondo.</w:t>
      </w:r>
    </w:p>
    <w:p w:rsidR="00B84145" w:rsidRDefault="00371398" w:rsidP="002A08E8">
      <w:pPr>
        <w:spacing w:line="360" w:lineRule="auto"/>
        <w:ind w:firstLine="397"/>
        <w:jc w:val="both"/>
        <w:rPr>
          <w:rFonts w:cs="Times New Roman"/>
          <w:sz w:val="24"/>
        </w:rPr>
      </w:pPr>
      <w:r>
        <w:rPr>
          <w:rFonts w:cs="Times New Roman"/>
          <w:sz w:val="24"/>
        </w:rPr>
        <w:lastRenderedPageBreak/>
        <w:t xml:space="preserve">Questo ultimo pensiero è quello di uno studente che si affaccia al suo futuro con dubbi e timori su quello che troverà sul proprio cammino: la società è, come diceva Bauman, liquida e le sue certezze non sono cristallizzate ed eterne. La desolazione successiva alle due guerre </w:t>
      </w:r>
      <w:r w:rsidR="009C1C0A" w:rsidRPr="009C1C0A">
        <w:rPr>
          <w:rFonts w:cs="Times New Roman"/>
          <w:sz w:val="24"/>
        </w:rPr>
        <w:t>due guerre che hanno insanguinato il Novecento</w:t>
      </w:r>
      <w:r>
        <w:rPr>
          <w:rFonts w:cs="Times New Roman"/>
          <w:sz w:val="24"/>
        </w:rPr>
        <w:t xml:space="preserve"> è stata la scin</w:t>
      </w:r>
      <w:r w:rsidR="00825606">
        <w:rPr>
          <w:rFonts w:cs="Times New Roman"/>
          <w:sz w:val="24"/>
        </w:rPr>
        <w:t xml:space="preserve">tilla che ha fatto nascere lo spirito di solidarietà e reciproco aiuto che, per settant’anni, ha steso i binari sui quali siamo cresciuti. Ora che gli ultimi occhi spettatori di questo passato si chiudono per sempre, questi sentimenti stanno venendo meno, riportandoci ad una società il cui indirizzo ricorda la frase di Hobbes “homo homini lupus” (l’uomo è lupo per l’altro uomo), all’interno della quale il singolo ricerca diritti personali essendo pronto a negare gli stessi al suo pari. </w:t>
      </w:r>
      <w:r w:rsidR="004F3281">
        <w:rPr>
          <w:rFonts w:cs="Times New Roman"/>
          <w:sz w:val="24"/>
        </w:rPr>
        <w:t>È dunque vero che l’uomo è un animale individualista che agisce per il bene del prossimo solo se intravede un ritorno personale? Per un futuro che non assuma i tratti della Guerra Fredda e delle trincee economiche è necessario che tutti, in primis il mondo della politica e dell’economia, inizino a pensare sul lungo periodo in un’ottica rawlsiana, per la quale la società gode di un benessere pari a quello di colui che sta peggio. Forse, animati da questo spirito o spaventati da questo scenario, i singoli comprenderebbero come la ricerca del massimo benessere personale momentaneo è solo l’atto di un lupo solitario che non ha ancora incontrato un predatore più feroce e con meno scrupoli.</w:t>
      </w:r>
    </w:p>
    <w:p w:rsidR="00B84145" w:rsidRDefault="00B84145">
      <w:pPr>
        <w:rPr>
          <w:rFonts w:cs="Times New Roman"/>
          <w:sz w:val="24"/>
        </w:rPr>
      </w:pPr>
      <w:r>
        <w:rPr>
          <w:rFonts w:cs="Times New Roman"/>
          <w:sz w:val="24"/>
        </w:rPr>
        <w:br w:type="page"/>
      </w:r>
    </w:p>
    <w:p w:rsidR="00B84145" w:rsidRDefault="00B84145" w:rsidP="00B84145">
      <w:pPr>
        <w:pStyle w:val="Titolo1"/>
        <w:numPr>
          <w:ilvl w:val="0"/>
          <w:numId w:val="3"/>
        </w:numPr>
        <w:spacing w:line="360" w:lineRule="auto"/>
      </w:pPr>
      <w:bookmarkStart w:id="24" w:name="_Toc475559370"/>
      <w:r>
        <w:lastRenderedPageBreak/>
        <w:t>Ringraziamenti</w:t>
      </w:r>
      <w:bookmarkEnd w:id="24"/>
    </w:p>
    <w:p w:rsidR="001F102F" w:rsidRPr="001F102F" w:rsidRDefault="001F102F" w:rsidP="001F102F"/>
    <w:p w:rsidR="00B63BAD" w:rsidRDefault="00B63BAD" w:rsidP="00B84145">
      <w:pPr>
        <w:spacing w:line="360" w:lineRule="auto"/>
        <w:ind w:firstLine="397"/>
        <w:jc w:val="both"/>
        <w:rPr>
          <w:rFonts w:cs="Times New Roman"/>
          <w:sz w:val="24"/>
        </w:rPr>
      </w:pPr>
      <w:r>
        <w:rPr>
          <w:rFonts w:cs="Times New Roman"/>
          <w:sz w:val="24"/>
        </w:rPr>
        <w:t>Ringrazio in primis la mia famiglia, Clara, Mauro e il mio adorato fratello Oliviero, che mi hanno sempre sostenuto in que</w:t>
      </w:r>
      <w:r w:rsidR="001F102F">
        <w:rPr>
          <w:rFonts w:cs="Times New Roman"/>
          <w:sz w:val="24"/>
        </w:rPr>
        <w:t>sti anni tra dubbi, incertezze,</w:t>
      </w:r>
      <w:r>
        <w:rPr>
          <w:rFonts w:cs="Times New Roman"/>
          <w:sz w:val="24"/>
        </w:rPr>
        <w:t xml:space="preserve"> sconfitte e sono sempre stati vicini a me nei momenti di felicità, facendomi tornare il so</w:t>
      </w:r>
      <w:r w:rsidR="001F102F">
        <w:rPr>
          <w:rFonts w:cs="Times New Roman"/>
          <w:sz w:val="24"/>
        </w:rPr>
        <w:t xml:space="preserve">rriso anche negli attimi </w:t>
      </w:r>
      <w:r>
        <w:rPr>
          <w:rFonts w:cs="Times New Roman"/>
          <w:sz w:val="24"/>
        </w:rPr>
        <w:t>più bui. Non sarei la persona che sono oggi senza la loro guida e le loro parole.</w:t>
      </w:r>
    </w:p>
    <w:p w:rsidR="00B63BAD" w:rsidRDefault="00B63BAD" w:rsidP="00B84145">
      <w:pPr>
        <w:spacing w:line="360" w:lineRule="auto"/>
        <w:ind w:firstLine="397"/>
        <w:jc w:val="both"/>
        <w:rPr>
          <w:rFonts w:cs="Times New Roman"/>
          <w:sz w:val="24"/>
        </w:rPr>
      </w:pPr>
      <w:r>
        <w:rPr>
          <w:rFonts w:cs="Times New Roman"/>
          <w:sz w:val="24"/>
        </w:rPr>
        <w:t>Ringrazio i miei zii, Giuliana e Oliviero,</w:t>
      </w:r>
      <w:r w:rsidR="00EC767F">
        <w:rPr>
          <w:rFonts w:cs="Times New Roman"/>
          <w:sz w:val="24"/>
        </w:rPr>
        <w:t xml:space="preserve"> e mia cugina Katia che </w:t>
      </w:r>
      <w:r>
        <w:rPr>
          <w:rFonts w:cs="Times New Roman"/>
          <w:sz w:val="24"/>
        </w:rPr>
        <w:t>mi hanno dato un tetto milanese sotto il quale studiare</w:t>
      </w:r>
      <w:r w:rsidR="00EC767F">
        <w:rPr>
          <w:rFonts w:cs="Times New Roman"/>
          <w:sz w:val="24"/>
        </w:rPr>
        <w:t>,</w:t>
      </w:r>
      <w:r>
        <w:rPr>
          <w:rFonts w:cs="Times New Roman"/>
          <w:sz w:val="24"/>
        </w:rPr>
        <w:t xml:space="preserve"> mi hanno aiutato quando mi sono affacciato per la pr</w:t>
      </w:r>
      <w:r w:rsidR="00EC767F">
        <w:rPr>
          <w:rFonts w:cs="Times New Roman"/>
          <w:sz w:val="24"/>
        </w:rPr>
        <w:t>ima volta a materie sconosciute e mi hanno fatto conoscere una Milano sconosciuta.</w:t>
      </w:r>
    </w:p>
    <w:p w:rsidR="00B63BAD" w:rsidRDefault="00B63BAD" w:rsidP="00B84145">
      <w:pPr>
        <w:spacing w:line="360" w:lineRule="auto"/>
        <w:ind w:firstLine="397"/>
        <w:jc w:val="both"/>
        <w:rPr>
          <w:rFonts w:cs="Times New Roman"/>
          <w:sz w:val="24"/>
        </w:rPr>
      </w:pPr>
      <w:r>
        <w:rPr>
          <w:rFonts w:cs="Times New Roman"/>
          <w:sz w:val="24"/>
        </w:rPr>
        <w:t xml:space="preserve">Ringrazio le amiche che da quasi dieci anni mi accompagnano, Alessandra e Angelica. Con loro ho condiviso risate, verifiche ed esami, novità, tristezza e felicità. </w:t>
      </w:r>
      <w:r w:rsidR="001B2607">
        <w:rPr>
          <w:rFonts w:cs="Times New Roman"/>
          <w:sz w:val="24"/>
        </w:rPr>
        <w:t>P</w:t>
      </w:r>
      <w:r>
        <w:rPr>
          <w:rFonts w:cs="Times New Roman"/>
          <w:sz w:val="24"/>
        </w:rPr>
        <w:t>osso soltanto dire grazie, che voglio loro bene e spero di condividere assieme il nostro futuro come abbiamo fatto fino ad ora.</w:t>
      </w:r>
    </w:p>
    <w:p w:rsidR="00B63BAD" w:rsidRDefault="00B63BAD" w:rsidP="00B84145">
      <w:pPr>
        <w:spacing w:line="360" w:lineRule="auto"/>
        <w:ind w:firstLine="397"/>
        <w:jc w:val="both"/>
        <w:rPr>
          <w:rFonts w:cs="Times New Roman"/>
          <w:sz w:val="24"/>
        </w:rPr>
      </w:pPr>
      <w:r>
        <w:rPr>
          <w:rFonts w:cs="Times New Roman"/>
          <w:sz w:val="24"/>
        </w:rPr>
        <w:t>Ringrazio l’amico riscoperto durante gli anni di università, Luca. Le notti insonni passate a chiacchierare condividendo aneddoti e cibo le porterò sempre con me.</w:t>
      </w:r>
      <w:r w:rsidR="00EC767F">
        <w:rPr>
          <w:rFonts w:cs="Times New Roman"/>
          <w:sz w:val="24"/>
        </w:rPr>
        <w:t xml:space="preserve"> È grazie a lui se il paragrafo 3.4 si chiama così e grazie a me se non si chiama “La </w:t>
      </w:r>
      <w:r w:rsidR="00B406A5">
        <w:rPr>
          <w:rFonts w:cs="Times New Roman"/>
          <w:sz w:val="24"/>
        </w:rPr>
        <w:t>Brexit</w:t>
      </w:r>
      <w:r w:rsidR="00EC767F">
        <w:rPr>
          <w:rFonts w:cs="Times New Roman"/>
          <w:sz w:val="24"/>
        </w:rPr>
        <w:t xml:space="preserve"> e la coscienza di classe. Chi ce li ha i mezzi produttivi adesso?”.</w:t>
      </w:r>
    </w:p>
    <w:p w:rsidR="00EC767F" w:rsidRDefault="00B63BAD" w:rsidP="00B84145">
      <w:pPr>
        <w:spacing w:line="360" w:lineRule="auto"/>
        <w:ind w:firstLine="397"/>
        <w:jc w:val="both"/>
        <w:rPr>
          <w:rFonts w:cs="Times New Roman"/>
          <w:sz w:val="24"/>
        </w:rPr>
      </w:pPr>
      <w:r>
        <w:rPr>
          <w:rFonts w:cs="Times New Roman"/>
          <w:sz w:val="24"/>
        </w:rPr>
        <w:t xml:space="preserve">Ringrazio gli amici </w:t>
      </w:r>
      <w:r w:rsidR="00EC767F">
        <w:rPr>
          <w:rFonts w:cs="Times New Roman"/>
          <w:sz w:val="24"/>
        </w:rPr>
        <w:t xml:space="preserve">che sono arrivati nel momento di maggiore necessità e </w:t>
      </w:r>
      <w:r>
        <w:rPr>
          <w:rFonts w:cs="Times New Roman"/>
          <w:sz w:val="24"/>
        </w:rPr>
        <w:t>con i quali condivido</w:t>
      </w:r>
      <w:r w:rsidR="00EC767F">
        <w:rPr>
          <w:rFonts w:cs="Times New Roman"/>
          <w:sz w:val="24"/>
        </w:rPr>
        <w:t xml:space="preserve"> tutt’oggi</w:t>
      </w:r>
      <w:r>
        <w:rPr>
          <w:rFonts w:cs="Times New Roman"/>
          <w:sz w:val="24"/>
        </w:rPr>
        <w:t xml:space="preserve"> le mie passioni, Daniele, Massimiliano, Pierantonio e Timothy. Con loro ho passato serate </w:t>
      </w:r>
      <w:r w:rsidR="00EC767F">
        <w:rPr>
          <w:rFonts w:cs="Times New Roman"/>
          <w:sz w:val="24"/>
        </w:rPr>
        <w:t>ridendo, scoprendo nuove idee e viaggiando in mondi fantastici.</w:t>
      </w:r>
    </w:p>
    <w:p w:rsidR="001F102F" w:rsidRDefault="001F102F" w:rsidP="00B84145">
      <w:pPr>
        <w:spacing w:line="360" w:lineRule="auto"/>
        <w:ind w:firstLine="397"/>
        <w:jc w:val="both"/>
        <w:rPr>
          <w:rFonts w:cs="Times New Roman"/>
          <w:sz w:val="24"/>
        </w:rPr>
      </w:pPr>
      <w:r>
        <w:rPr>
          <w:rFonts w:cs="Times New Roman"/>
          <w:sz w:val="24"/>
        </w:rPr>
        <w:t>Ringrazio i miei compagni di università, Alessandro B., Alessandro D., Lorenzo e Marco. Sono state le prime persone che ho conosciuto durante e questa esperienza, ho studiato e mi sono divertito con loro durante questi anni universitari.</w:t>
      </w:r>
    </w:p>
    <w:p w:rsidR="00757CCC" w:rsidRPr="00B406A5" w:rsidRDefault="004203A4" w:rsidP="00B406A5">
      <w:pPr>
        <w:spacing w:line="360" w:lineRule="auto"/>
        <w:ind w:firstLine="397"/>
        <w:jc w:val="both"/>
        <w:rPr>
          <w:rFonts w:cs="Times New Roman"/>
          <w:sz w:val="24"/>
        </w:rPr>
      </w:pPr>
      <w:r w:rsidRPr="00B84145">
        <w:rPr>
          <w:rFonts w:cs="Times New Roman"/>
          <w:sz w:val="24"/>
        </w:rPr>
        <w:br w:type="page"/>
      </w:r>
    </w:p>
    <w:p w:rsidR="00402E6A" w:rsidRDefault="00402E6A">
      <w:pPr>
        <w:rPr>
          <w:rFonts w:eastAsiaTheme="majorEastAsia" w:cs="Times New Roman"/>
          <w:b/>
          <w:i/>
          <w:color w:val="262626" w:themeColor="text1" w:themeTint="D9"/>
          <w:sz w:val="32"/>
          <w:szCs w:val="32"/>
        </w:rPr>
      </w:pPr>
      <w:r>
        <w:rPr>
          <w:rFonts w:cs="Times New Roman"/>
        </w:rPr>
        <w:lastRenderedPageBreak/>
        <w:br w:type="page"/>
      </w:r>
    </w:p>
    <w:p w:rsidR="008237D1" w:rsidRDefault="008237D1" w:rsidP="009137D5">
      <w:pPr>
        <w:pStyle w:val="Titolo1"/>
        <w:spacing w:line="360" w:lineRule="auto"/>
        <w:ind w:firstLine="397"/>
        <w:jc w:val="both"/>
        <w:rPr>
          <w:rFonts w:cs="Times New Roman"/>
        </w:rPr>
      </w:pPr>
      <w:bookmarkStart w:id="25" w:name="_Toc475559371"/>
      <w:r w:rsidRPr="008237D1">
        <w:rPr>
          <w:rFonts w:cs="Times New Roman"/>
        </w:rPr>
        <w:lastRenderedPageBreak/>
        <w:t>Bibliografia</w:t>
      </w:r>
      <w:bookmarkEnd w:id="25"/>
    </w:p>
    <w:p w:rsidR="00D2071A" w:rsidRPr="00D2071A" w:rsidRDefault="00D2071A" w:rsidP="00D2071A"/>
    <w:p w:rsidR="008237D1" w:rsidRDefault="008B6EFD" w:rsidP="009137D5">
      <w:pPr>
        <w:spacing w:line="360" w:lineRule="auto"/>
        <w:ind w:firstLine="397"/>
        <w:jc w:val="both"/>
      </w:pPr>
      <w:r>
        <w:t xml:space="preserve">Alberto De Bernardi, Scipione </w:t>
      </w:r>
      <w:proofErr w:type="spellStart"/>
      <w:r>
        <w:t>Guarracino</w:t>
      </w:r>
      <w:proofErr w:type="spellEnd"/>
      <w:r>
        <w:t xml:space="preserve">, </w:t>
      </w:r>
      <w:r w:rsidR="008237D1" w:rsidRPr="008B6EFD">
        <w:rPr>
          <w:i/>
        </w:rPr>
        <w:t xml:space="preserve">I </w:t>
      </w:r>
      <w:proofErr w:type="spellStart"/>
      <w:r w:rsidR="008237D1" w:rsidRPr="008B6EFD">
        <w:rPr>
          <w:i/>
        </w:rPr>
        <w:t>saperi</w:t>
      </w:r>
      <w:proofErr w:type="spellEnd"/>
      <w:r w:rsidR="008237D1" w:rsidRPr="008B6EFD">
        <w:rPr>
          <w:i/>
        </w:rPr>
        <w:t xml:space="preserve"> della storia 3: il Novecento</w:t>
      </w:r>
      <w:r>
        <w:t>, Edizioni scolastiche Bruno Mondadori</w:t>
      </w:r>
    </w:p>
    <w:p w:rsidR="00A42054" w:rsidRDefault="00A42054" w:rsidP="009137D5">
      <w:pPr>
        <w:spacing w:line="360" w:lineRule="auto"/>
        <w:ind w:firstLine="397"/>
        <w:jc w:val="both"/>
      </w:pPr>
      <w:r>
        <w:t xml:space="preserve">Vera Zamagni, </w:t>
      </w:r>
      <w:r w:rsidRPr="00A42054">
        <w:rPr>
          <w:i/>
        </w:rPr>
        <w:t>Dalla rivoluzione industriale all’integrazione europea</w:t>
      </w:r>
      <w:r>
        <w:t>, Il Mulino</w:t>
      </w:r>
    </w:p>
    <w:p w:rsidR="00354D1E" w:rsidRDefault="00354D1E" w:rsidP="009137D5">
      <w:pPr>
        <w:spacing w:line="360" w:lineRule="auto"/>
        <w:ind w:firstLine="397"/>
        <w:jc w:val="both"/>
      </w:pPr>
      <w:r>
        <w:t xml:space="preserve">Paolo Caretti, Ugo De </w:t>
      </w:r>
      <w:proofErr w:type="spellStart"/>
      <w:r>
        <w:t>Siervo</w:t>
      </w:r>
      <w:proofErr w:type="spellEnd"/>
      <w:r>
        <w:t xml:space="preserve">, </w:t>
      </w:r>
      <w:r w:rsidRPr="00354D1E">
        <w:rPr>
          <w:i/>
        </w:rPr>
        <w:t>Istituzioni di diritto pubblico, decima edizione</w:t>
      </w:r>
      <w:r>
        <w:t xml:space="preserve">, G. </w:t>
      </w:r>
      <w:proofErr w:type="spellStart"/>
      <w:r>
        <w:t>Giappichelli</w:t>
      </w:r>
      <w:proofErr w:type="spellEnd"/>
      <w:r>
        <w:t xml:space="preserve"> Editore</w:t>
      </w:r>
    </w:p>
    <w:p w:rsidR="006D28C9" w:rsidRDefault="005F254D" w:rsidP="005F254D">
      <w:pPr>
        <w:spacing w:line="360" w:lineRule="auto"/>
        <w:ind w:firstLine="397"/>
        <w:jc w:val="both"/>
      </w:pPr>
      <w:proofErr w:type="spellStart"/>
      <w:r>
        <w:t>Rudiger</w:t>
      </w:r>
      <w:proofErr w:type="spellEnd"/>
      <w:r>
        <w:t xml:space="preserve"> </w:t>
      </w:r>
      <w:proofErr w:type="spellStart"/>
      <w:r>
        <w:t>Dornbusch</w:t>
      </w:r>
      <w:proofErr w:type="spellEnd"/>
      <w:r>
        <w:t xml:space="preserve">, Stanley Fischer, Richard </w:t>
      </w:r>
      <w:proofErr w:type="spellStart"/>
      <w:r>
        <w:t>Startz</w:t>
      </w:r>
      <w:proofErr w:type="spellEnd"/>
      <w:r>
        <w:t xml:space="preserve">, Giuseppe Canullo, Paolo </w:t>
      </w:r>
      <w:proofErr w:type="spellStart"/>
      <w:r>
        <w:t>Pettenati</w:t>
      </w:r>
      <w:proofErr w:type="spellEnd"/>
      <w:r>
        <w:t xml:space="preserve">, </w:t>
      </w:r>
      <w:r w:rsidRPr="005F254D">
        <w:rPr>
          <w:i/>
        </w:rPr>
        <w:t>Macroeconomia, XI edizione</w:t>
      </w:r>
      <w:r>
        <w:t xml:space="preserve">, </w:t>
      </w:r>
      <w:proofErr w:type="spellStart"/>
      <w:r>
        <w:t>McGraw</w:t>
      </w:r>
      <w:proofErr w:type="spellEnd"/>
      <w:r>
        <w:t xml:space="preserve"> Hill </w:t>
      </w:r>
      <w:proofErr w:type="spellStart"/>
      <w:r>
        <w:t>Education</w:t>
      </w:r>
      <w:proofErr w:type="spellEnd"/>
      <w:r w:rsidR="006D28C9">
        <w:br w:type="page"/>
      </w:r>
    </w:p>
    <w:p w:rsidR="008237D1" w:rsidRDefault="006D28C9" w:rsidP="006D28C9">
      <w:pPr>
        <w:pStyle w:val="Titolo1"/>
        <w:spacing w:line="360" w:lineRule="auto"/>
        <w:ind w:firstLine="397"/>
        <w:jc w:val="both"/>
        <w:rPr>
          <w:rFonts w:cs="Times New Roman"/>
        </w:rPr>
      </w:pPr>
      <w:bookmarkStart w:id="26" w:name="_Toc475559372"/>
      <w:proofErr w:type="spellStart"/>
      <w:r w:rsidRPr="006D28C9">
        <w:rPr>
          <w:rFonts w:cs="Times New Roman"/>
        </w:rPr>
        <w:lastRenderedPageBreak/>
        <w:t>Sitografia</w:t>
      </w:r>
      <w:bookmarkEnd w:id="26"/>
      <w:proofErr w:type="spellEnd"/>
    </w:p>
    <w:p w:rsidR="00D2071A" w:rsidRPr="00D2071A" w:rsidRDefault="00D2071A" w:rsidP="00D2071A"/>
    <w:p w:rsidR="00AF7841" w:rsidRDefault="00517026" w:rsidP="006D28C9">
      <w:pPr>
        <w:spacing w:line="360" w:lineRule="auto"/>
        <w:ind w:firstLine="397"/>
        <w:jc w:val="both"/>
      </w:pPr>
      <w:hyperlink r:id="rId53" w:history="1">
        <w:r w:rsidR="00AF7841" w:rsidRPr="00316DDD">
          <w:rPr>
            <w:rStyle w:val="Collegamentoipertestuale"/>
          </w:rPr>
          <w:t>http://atlas.media.mit.edu/en/</w:t>
        </w:r>
      </w:hyperlink>
    </w:p>
    <w:p w:rsidR="00AF7841" w:rsidRDefault="00517026" w:rsidP="006D28C9">
      <w:pPr>
        <w:spacing w:line="360" w:lineRule="auto"/>
        <w:ind w:firstLine="397"/>
        <w:jc w:val="both"/>
      </w:pPr>
      <w:hyperlink r:id="rId54" w:history="1">
        <w:r w:rsidR="00AF7841" w:rsidRPr="00316DDD">
          <w:rPr>
            <w:rStyle w:val="Collegamentoipertestuale"/>
          </w:rPr>
          <w:t>http://budgetresponsibility.org.uk/</w:t>
        </w:r>
      </w:hyperlink>
    </w:p>
    <w:p w:rsidR="00AF7841" w:rsidRDefault="00517026" w:rsidP="006D28C9">
      <w:pPr>
        <w:spacing w:line="360" w:lineRule="auto"/>
        <w:ind w:firstLine="397"/>
        <w:jc w:val="both"/>
      </w:pPr>
      <w:hyperlink r:id="rId55" w:history="1">
        <w:r w:rsidR="00AF7841" w:rsidRPr="00316DDD">
          <w:rPr>
            <w:rStyle w:val="Collegamentoipertestuale"/>
          </w:rPr>
          <w:t>http://www.bancaditalia.it/</w:t>
        </w:r>
      </w:hyperlink>
    </w:p>
    <w:p w:rsidR="00AF7841" w:rsidRDefault="00517026" w:rsidP="006D28C9">
      <w:pPr>
        <w:spacing w:line="360" w:lineRule="auto"/>
        <w:ind w:firstLine="397"/>
        <w:jc w:val="both"/>
      </w:pPr>
      <w:hyperlink r:id="rId56" w:history="1">
        <w:r w:rsidR="00AF7841" w:rsidRPr="000A0157">
          <w:rPr>
            <w:rStyle w:val="Collegamentoipertestuale"/>
          </w:rPr>
          <w:t>http://www.bbc.com/news/uk-politics-21148282</w:t>
        </w:r>
      </w:hyperlink>
    </w:p>
    <w:p w:rsidR="00AF7841" w:rsidRDefault="00517026" w:rsidP="006D28C9">
      <w:pPr>
        <w:spacing w:line="360" w:lineRule="auto"/>
        <w:ind w:firstLine="397"/>
        <w:jc w:val="both"/>
      </w:pPr>
      <w:hyperlink r:id="rId57" w:history="1">
        <w:r w:rsidR="00AF7841" w:rsidRPr="002E540C">
          <w:rPr>
            <w:rStyle w:val="Collegamentoipertestuale"/>
          </w:rPr>
          <w:t>http://www.milanofinanza.it/</w:t>
        </w:r>
      </w:hyperlink>
    </w:p>
    <w:p w:rsidR="00AF7841" w:rsidRDefault="00517026" w:rsidP="006D28C9">
      <w:pPr>
        <w:spacing w:line="360" w:lineRule="auto"/>
        <w:ind w:firstLine="397"/>
        <w:jc w:val="both"/>
        <w:rPr>
          <w:rStyle w:val="Collegamentoipertestuale"/>
        </w:rPr>
      </w:pPr>
      <w:hyperlink r:id="rId58" w:history="1">
        <w:r w:rsidR="00AF7841" w:rsidRPr="000A0157">
          <w:rPr>
            <w:rStyle w:val="Collegamentoipertestuale"/>
          </w:rPr>
          <w:t>http://www.repubblica.it/esteri/2016/07/11/news/andrea_leadsom_pronta_a_lasciare_la_gara_per_la_guida_del_partito_conservatore_britannico-143841834/</w:t>
        </w:r>
      </w:hyperlink>
    </w:p>
    <w:p w:rsidR="00AF7841" w:rsidRDefault="00517026" w:rsidP="006D28C9">
      <w:pPr>
        <w:spacing w:line="360" w:lineRule="auto"/>
        <w:ind w:firstLine="397"/>
        <w:jc w:val="both"/>
      </w:pPr>
      <w:hyperlink r:id="rId59" w:history="1">
        <w:r w:rsidR="00AF7841" w:rsidRPr="00255FDE">
          <w:rPr>
            <w:rStyle w:val="Collegamentoipertestuale"/>
          </w:rPr>
          <w:t>https://europa.eu/european-union/about-eu/history_it</w:t>
        </w:r>
      </w:hyperlink>
    </w:p>
    <w:p w:rsidR="00AF7841" w:rsidRDefault="00517026" w:rsidP="006D28C9">
      <w:pPr>
        <w:spacing w:line="360" w:lineRule="auto"/>
        <w:ind w:firstLine="397"/>
        <w:jc w:val="both"/>
      </w:pPr>
      <w:hyperlink r:id="rId60" w:history="1">
        <w:r w:rsidR="00AF7841" w:rsidRPr="00316DDD">
          <w:rPr>
            <w:rStyle w:val="Collegamentoipertestuale"/>
          </w:rPr>
          <w:t>https://www.ecb.europa.eu</w:t>
        </w:r>
      </w:hyperlink>
    </w:p>
    <w:p w:rsidR="00AF7841" w:rsidRDefault="00517026" w:rsidP="006D28C9">
      <w:pPr>
        <w:spacing w:line="360" w:lineRule="auto"/>
        <w:ind w:firstLine="397"/>
        <w:jc w:val="both"/>
      </w:pPr>
      <w:hyperlink r:id="rId61" w:history="1">
        <w:r w:rsidR="00AF7841" w:rsidRPr="000A0157">
          <w:rPr>
            <w:rStyle w:val="Collegamentoipertestuale"/>
          </w:rPr>
          <w:t>https://www.ft.com/content/851f6814-bd2f-11e6-8b45-b8b81dd5d080</w:t>
        </w:r>
      </w:hyperlink>
    </w:p>
    <w:p w:rsidR="00AF7841" w:rsidRDefault="00517026" w:rsidP="006D28C9">
      <w:pPr>
        <w:spacing w:line="360" w:lineRule="auto"/>
        <w:ind w:firstLine="397"/>
        <w:jc w:val="both"/>
        <w:rPr>
          <w:rStyle w:val="Collegamentoipertestuale"/>
        </w:rPr>
      </w:pPr>
      <w:hyperlink r:id="rId62" w:history="1">
        <w:r w:rsidR="00AF7841" w:rsidRPr="003658B0">
          <w:rPr>
            <w:rStyle w:val="Collegamentoipertestuale"/>
          </w:rPr>
          <w:t>https://www.global-counsel.co.uk/</w:t>
        </w:r>
      </w:hyperlink>
    </w:p>
    <w:p w:rsidR="00AF7841" w:rsidRDefault="00517026" w:rsidP="006D28C9">
      <w:pPr>
        <w:spacing w:line="360" w:lineRule="auto"/>
        <w:ind w:firstLine="397"/>
        <w:jc w:val="both"/>
      </w:pPr>
      <w:hyperlink r:id="rId63" w:history="1">
        <w:r w:rsidR="00AF7841" w:rsidRPr="00316DDD">
          <w:rPr>
            <w:rStyle w:val="Collegamentoipertestuale"/>
          </w:rPr>
          <w:t>https://www.gov.uk</w:t>
        </w:r>
      </w:hyperlink>
    </w:p>
    <w:p w:rsidR="00AF7841" w:rsidRDefault="00517026" w:rsidP="006D28C9">
      <w:pPr>
        <w:spacing w:line="360" w:lineRule="auto"/>
        <w:ind w:firstLine="397"/>
        <w:jc w:val="both"/>
        <w:rPr>
          <w:rStyle w:val="Collegamentoipertestuale"/>
        </w:rPr>
      </w:pPr>
      <w:hyperlink r:id="rId64" w:history="1">
        <w:r w:rsidR="00AF7841" w:rsidRPr="000A0157">
          <w:rPr>
            <w:rStyle w:val="Collegamentoipertestuale"/>
          </w:rPr>
          <w:t>https://www.gov.uk/government/speeches/statement-from-the-new-prime-minister-theresa-may</w:t>
        </w:r>
      </w:hyperlink>
    </w:p>
    <w:p w:rsidR="00AF7841" w:rsidRDefault="00AF7841" w:rsidP="006D28C9">
      <w:pPr>
        <w:spacing w:line="360" w:lineRule="auto"/>
        <w:ind w:firstLine="397"/>
        <w:jc w:val="both"/>
        <w:rPr>
          <w:rStyle w:val="Collegamentoipertestuale"/>
        </w:rPr>
      </w:pPr>
      <w:r w:rsidRPr="00C51316">
        <w:rPr>
          <w:rStyle w:val="Collegamentoipertestuale"/>
        </w:rPr>
        <w:t>https://www.ons.gov.uk</w:t>
      </w:r>
    </w:p>
    <w:p w:rsidR="00AF7841" w:rsidRDefault="00AF7841" w:rsidP="006D28C9">
      <w:pPr>
        <w:spacing w:line="360" w:lineRule="auto"/>
        <w:ind w:firstLine="397"/>
        <w:jc w:val="both"/>
      </w:pPr>
    </w:p>
    <w:p w:rsidR="00C51316" w:rsidRDefault="00C51316" w:rsidP="006D28C9">
      <w:pPr>
        <w:spacing w:line="360" w:lineRule="auto"/>
        <w:ind w:firstLine="397"/>
        <w:jc w:val="both"/>
      </w:pPr>
    </w:p>
    <w:p w:rsidR="007C0816" w:rsidRDefault="007C0816" w:rsidP="006D28C9">
      <w:pPr>
        <w:spacing w:line="360" w:lineRule="auto"/>
        <w:ind w:firstLine="397"/>
        <w:jc w:val="both"/>
      </w:pPr>
    </w:p>
    <w:p w:rsidR="00FC7C0B" w:rsidRPr="006D28C9" w:rsidRDefault="00FC7C0B" w:rsidP="006D28C9">
      <w:pPr>
        <w:spacing w:line="360" w:lineRule="auto"/>
        <w:ind w:firstLine="397"/>
        <w:jc w:val="both"/>
      </w:pPr>
    </w:p>
    <w:sectPr w:rsidR="00FC7C0B" w:rsidRPr="006D28C9" w:rsidSect="00F415F2">
      <w:type w:val="continuous"/>
      <w:pgSz w:w="11906" w:h="16838" w:code="9"/>
      <w:pgMar w:top="1701"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7026" w:rsidRDefault="00517026" w:rsidP="00A65579">
      <w:pPr>
        <w:spacing w:after="0" w:line="240" w:lineRule="auto"/>
      </w:pPr>
      <w:r>
        <w:separator/>
      </w:r>
    </w:p>
  </w:endnote>
  <w:endnote w:type="continuationSeparator" w:id="0">
    <w:p w:rsidR="00517026" w:rsidRDefault="00517026" w:rsidP="00A65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91370"/>
      <w:docPartObj>
        <w:docPartGallery w:val="Page Numbers (Bottom of Page)"/>
        <w:docPartUnique/>
      </w:docPartObj>
    </w:sdtPr>
    <w:sdtEndPr/>
    <w:sdtContent>
      <w:p w:rsidR="00B63BAD" w:rsidRDefault="00B63BAD">
        <w:pPr>
          <w:pStyle w:val="Pidipagina"/>
          <w:jc w:val="center"/>
        </w:pPr>
        <w:r>
          <w:fldChar w:fldCharType="begin"/>
        </w:r>
        <w:r>
          <w:instrText>PAGE   \* MERGEFORMAT</w:instrText>
        </w:r>
        <w:r>
          <w:fldChar w:fldCharType="separate"/>
        </w:r>
        <w:r w:rsidR="00F65CED">
          <w:rPr>
            <w:noProof/>
          </w:rPr>
          <w:t>6</w:t>
        </w:r>
        <w:r>
          <w:fldChar w:fldCharType="end"/>
        </w:r>
      </w:p>
    </w:sdtContent>
  </w:sdt>
  <w:p w:rsidR="00B63BAD" w:rsidRDefault="00B63BA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7026" w:rsidRDefault="00517026" w:rsidP="00A65579">
      <w:pPr>
        <w:spacing w:after="0" w:line="240" w:lineRule="auto"/>
      </w:pPr>
      <w:r>
        <w:separator/>
      </w:r>
    </w:p>
  </w:footnote>
  <w:footnote w:type="continuationSeparator" w:id="0">
    <w:p w:rsidR="00517026" w:rsidRDefault="00517026" w:rsidP="00A65579">
      <w:pPr>
        <w:spacing w:after="0" w:line="240" w:lineRule="auto"/>
      </w:pPr>
      <w:r>
        <w:continuationSeparator/>
      </w:r>
    </w:p>
  </w:footnote>
  <w:footnote w:id="1">
    <w:p w:rsidR="00B63BAD" w:rsidRDefault="00B63BAD" w:rsidP="00724A33">
      <w:pPr>
        <w:pStyle w:val="Testonotaapidipagina"/>
      </w:pPr>
      <w:r>
        <w:rPr>
          <w:rStyle w:val="Rimandonotaapidipagina"/>
        </w:rPr>
        <w:footnoteRef/>
      </w:r>
      <w:r>
        <w:t xml:space="preserve"> </w:t>
      </w:r>
      <w:r w:rsidRPr="00724A33">
        <w:t>http://www.bbc.com/news/uk-england-36550304</w:t>
      </w:r>
    </w:p>
  </w:footnote>
  <w:footnote w:id="2">
    <w:p w:rsidR="00B63BAD" w:rsidRDefault="00B63BAD">
      <w:pPr>
        <w:pStyle w:val="Testonotaapidipagina"/>
      </w:pPr>
      <w:r>
        <w:rPr>
          <w:rStyle w:val="Rimandonotaapidipagina"/>
        </w:rPr>
        <w:footnoteRef/>
      </w:r>
      <w:r>
        <w:t xml:space="preserve"> Fonte: </w:t>
      </w:r>
      <w:r w:rsidRPr="002630B8">
        <w:t>http://www.dailymail.co.uk/video/news/video-1298176/Boris-Johnson-makes-claim-leaving-EU-free-350m.html</w:t>
      </w:r>
    </w:p>
  </w:footnote>
  <w:footnote w:id="3">
    <w:p w:rsidR="00B63BAD" w:rsidRDefault="00B63BAD">
      <w:pPr>
        <w:pStyle w:val="Testonotaapidipagina"/>
      </w:pPr>
      <w:r>
        <w:rPr>
          <w:rStyle w:val="Rimandonotaapidipagina"/>
        </w:rPr>
        <w:footnoteRef/>
      </w:r>
      <w:r>
        <w:t xml:space="preserve"> Fonte: </w:t>
      </w:r>
      <w:r w:rsidRPr="000D0EED">
        <w:t>https://www.gov.uk/government/uploads/system/uploads/attachment_data/file/483344/EU_finances_2015_final_web_09122015.pdf#page=18</w:t>
      </w:r>
    </w:p>
  </w:footnote>
  <w:footnote w:id="4">
    <w:p w:rsidR="00B63BAD" w:rsidRDefault="00B63BAD">
      <w:pPr>
        <w:pStyle w:val="Testonotaapidipagina"/>
      </w:pPr>
      <w:r>
        <w:rPr>
          <w:rStyle w:val="Rimandonotaapidipagina"/>
        </w:rPr>
        <w:footnoteRef/>
      </w:r>
      <w:r>
        <w:t xml:space="preserve">Fonte: </w:t>
      </w:r>
      <w:r w:rsidRPr="00A31CB7">
        <w:t>http://www.telegraph.co.uk/news/2016/06/24/nigel-farage-350-million-pledge-to-fund-the-nhs-was-a-mistake/</w:t>
      </w:r>
    </w:p>
  </w:footnote>
  <w:footnote w:id="5">
    <w:p w:rsidR="00B63BAD" w:rsidRDefault="00B63BAD">
      <w:pPr>
        <w:pStyle w:val="Testonotaapidipagina"/>
      </w:pPr>
      <w:r>
        <w:rPr>
          <w:rStyle w:val="Rimandonotaapidipagina"/>
        </w:rPr>
        <w:footnoteRef/>
      </w:r>
      <w:r>
        <w:t xml:space="preserve">Fonte: </w:t>
      </w:r>
      <w:r w:rsidRPr="00690BF9">
        <w:t>http://uk.reuters.com/video/2016/03/10/</w:t>
      </w:r>
      <w:r w:rsidR="00B406A5">
        <w:t>Brexit</w:t>
      </w:r>
      <w:r w:rsidRPr="00690BF9">
        <w:t>-fact-check-whos-telling-the-truth?videoId=367677915&amp;videoChannel=75</w:t>
      </w:r>
    </w:p>
  </w:footnote>
  <w:footnote w:id="6">
    <w:p w:rsidR="00B63BAD" w:rsidRDefault="00B63BAD">
      <w:pPr>
        <w:pStyle w:val="Testonotaapidipagina"/>
      </w:pPr>
      <w:r>
        <w:rPr>
          <w:rStyle w:val="Rimandonotaapidipagina"/>
        </w:rPr>
        <w:footnoteRef/>
      </w:r>
      <w:r>
        <w:t xml:space="preserve"> Fonte: </w:t>
      </w:r>
      <w:r w:rsidRPr="00F14518">
        <w:t>https://www.theguardian.com/politics/2016/apr/18/eu-referendum-reality-check-uk-households-worse-off-</w:t>
      </w:r>
      <w:r w:rsidR="00B406A5">
        <w:t>Brexit</w:t>
      </w:r>
    </w:p>
  </w:footnote>
  <w:footnote w:id="7">
    <w:p w:rsidR="00B63BAD" w:rsidRDefault="00B63BAD">
      <w:pPr>
        <w:pStyle w:val="Testonotaapidipagina"/>
      </w:pPr>
      <w:r>
        <w:rPr>
          <w:rStyle w:val="Rimandonotaapidipagina"/>
        </w:rPr>
        <w:footnoteRef/>
      </w:r>
      <w:r>
        <w:t xml:space="preserve"> È</w:t>
      </w:r>
      <w:r w:rsidRPr="00D81296">
        <w:t>, nell'ambito del diritto internazionale, la procedura secondo cui i paesi contraenti si impegnano ad accordare ai prodotti/beni provenienti da un paese estero con condizioni doganali e daziarie non meno favorevoli di quelle già stabilite negli accordi commerciali con un altro paese terzo.</w:t>
      </w:r>
    </w:p>
  </w:footnote>
  <w:footnote w:id="8">
    <w:p w:rsidR="00B63BAD" w:rsidRDefault="00B63BAD">
      <w:pPr>
        <w:pStyle w:val="Testonotaapidipagina"/>
      </w:pPr>
      <w:r>
        <w:rPr>
          <w:rStyle w:val="Rimandonotaapidipagina"/>
        </w:rPr>
        <w:footnoteRef/>
      </w:r>
      <w:r>
        <w:t xml:space="preserve"> Fonte: </w:t>
      </w:r>
      <w:r w:rsidRPr="00A64229">
        <w:t>https://www.bullionstar.com/blogs/koos-jansen/the-gold-price-and-global-flows-the-uk-net-imported-152-tonnes-in-june/</w:t>
      </w:r>
    </w:p>
  </w:footnote>
  <w:footnote w:id="9">
    <w:p w:rsidR="00B63BAD" w:rsidRDefault="00B63BAD">
      <w:pPr>
        <w:pStyle w:val="Testonotaapidipagina"/>
      </w:pPr>
      <w:r>
        <w:rPr>
          <w:rStyle w:val="Rimandonotaapidipagina"/>
        </w:rPr>
        <w:footnoteRef/>
      </w:r>
      <w:r>
        <w:t xml:space="preserve"> Fonte: Il Sole 24 Ore</w:t>
      </w:r>
    </w:p>
  </w:footnote>
  <w:footnote w:id="10">
    <w:p w:rsidR="00B63BAD" w:rsidRDefault="00B63BAD">
      <w:pPr>
        <w:pStyle w:val="Testonotaapidipagina"/>
      </w:pPr>
      <w:r>
        <w:rPr>
          <w:rStyle w:val="Rimandonotaapidipagina"/>
        </w:rPr>
        <w:footnoteRef/>
      </w:r>
      <w:r>
        <w:t xml:space="preserve"> Fonte: </w:t>
      </w:r>
      <w:r w:rsidRPr="00CA0ABA">
        <w:t>http://www.bankofengland.co.uk/publications/Pages/news/2016/056.aspx</w:t>
      </w:r>
    </w:p>
  </w:footnote>
  <w:footnote w:id="11">
    <w:p w:rsidR="00B63BAD" w:rsidRDefault="00B63BAD">
      <w:pPr>
        <w:pStyle w:val="Testonotaapidipagina"/>
      </w:pPr>
      <w:r>
        <w:rPr>
          <w:rStyle w:val="Rimandonotaapidipagina"/>
        </w:rPr>
        <w:footnoteRef/>
      </w:r>
      <w:r>
        <w:t xml:space="preserve"> Al momento della redazione di questa tesi, i dati messi a disposizione dall’Office for National </w:t>
      </w:r>
      <w:proofErr w:type="spellStart"/>
      <w:r>
        <w:t>Statistics</w:t>
      </w:r>
      <w:proofErr w:type="spellEnd"/>
      <w:r>
        <w:t xml:space="preserve"> terminano con la bilancia dei pagamenti del terzo trimestre 2016. Il conto capitale e il conto finanziario non sono analizzati.  </w:t>
      </w:r>
    </w:p>
  </w:footnote>
  <w:footnote w:id="12">
    <w:p w:rsidR="00B63BAD" w:rsidRDefault="00B63BAD">
      <w:pPr>
        <w:pStyle w:val="Testonotaapidipagina"/>
      </w:pPr>
      <w:r>
        <w:rPr>
          <w:rStyle w:val="Rimandonotaapidipagina"/>
        </w:rPr>
        <w:footnoteRef/>
      </w:r>
      <w:r>
        <w:t xml:space="preserve"> Fonte: </w:t>
      </w:r>
      <w:r w:rsidRPr="006538CB">
        <w:t>http://www.telegraph.co.uk/business/2017/01/13/britains-jobs-market-stay-strong-2017-bank-england-expert-says/</w:t>
      </w:r>
    </w:p>
  </w:footnote>
  <w:footnote w:id="13">
    <w:p w:rsidR="00B63BAD" w:rsidRDefault="00B63BAD">
      <w:pPr>
        <w:pStyle w:val="Testonotaapidipagina"/>
      </w:pPr>
      <w:r>
        <w:rPr>
          <w:rStyle w:val="Rimandonotaapidipagina"/>
        </w:rPr>
        <w:footnoteRef/>
      </w:r>
      <w:r>
        <w:t xml:space="preserve"> </w:t>
      </w:r>
      <w:r w:rsidRPr="00DF5929">
        <w:t>Il coe</w:t>
      </w:r>
      <w:r>
        <w:t xml:space="preserve">fficiente di Gini </w:t>
      </w:r>
      <w:r w:rsidRPr="00DF5929">
        <w:t xml:space="preserve">è una misura della diseguaglianza di una distribuzione. È spesso usato come indice di concentrazione per misurare la diseguaglianza nella distribuzione del reddito o anche della ricchezza. È un numero compreso tra 0 ed 1. Valori bassi del coefficiente indicano una distribuzione abbastanza omogenea, con il valore 0 che corrisponde alla pura </w:t>
      </w:r>
      <w:proofErr w:type="spellStart"/>
      <w:r w:rsidRPr="00DF5929">
        <w:t>equidistribuzione</w:t>
      </w:r>
      <w:proofErr w:type="spellEnd"/>
      <w:r w:rsidRPr="00DF5929">
        <w:t>, ad esempio la situazione in cui tutti percepiscono esattamente lo stesso reddito; valori alti del coefficiente indicano una distribuzione più diseguale, con il valore 1 che corrisponde alla massima concentrazione, ovvero la situazione dove una persona percepisca tutto il reddito del paese mentre tutti gli altri hanno un reddito nullo.</w:t>
      </w:r>
      <w:r>
        <w:t xml:space="preserve"> Fonte: Wikipedia</w:t>
      </w:r>
    </w:p>
  </w:footnote>
  <w:footnote w:id="14">
    <w:p w:rsidR="00B63BAD" w:rsidRDefault="00B63BAD">
      <w:pPr>
        <w:pStyle w:val="Testonotaapidipagina"/>
      </w:pPr>
      <w:r>
        <w:rPr>
          <w:rStyle w:val="Rimandonotaapidipagina"/>
        </w:rPr>
        <w:footnoteRef/>
      </w:r>
      <w:r>
        <w:t xml:space="preserve"> Fonte: </w:t>
      </w:r>
      <w:r w:rsidRPr="00863C2A">
        <w:t>http://www.repubblica.it/economia/2017/01/05/news/gran_bretagna_treni_tariffe_piu_alte-155416853/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16961"/>
    <w:multiLevelType w:val="hybridMultilevel"/>
    <w:tmpl w:val="D59ECE7E"/>
    <w:lvl w:ilvl="0" w:tplc="04100001">
      <w:start w:val="1"/>
      <w:numFmt w:val="bullet"/>
      <w:lvlText w:val=""/>
      <w:lvlJc w:val="left"/>
      <w:pPr>
        <w:ind w:left="1117" w:hanging="360"/>
      </w:pPr>
      <w:rPr>
        <w:rFonts w:ascii="Symbol" w:hAnsi="Symbol" w:hint="default"/>
      </w:rPr>
    </w:lvl>
    <w:lvl w:ilvl="1" w:tplc="04100003" w:tentative="1">
      <w:start w:val="1"/>
      <w:numFmt w:val="bullet"/>
      <w:lvlText w:val="o"/>
      <w:lvlJc w:val="left"/>
      <w:pPr>
        <w:ind w:left="1837" w:hanging="360"/>
      </w:pPr>
      <w:rPr>
        <w:rFonts w:ascii="Courier New" w:hAnsi="Courier New" w:cs="Courier New" w:hint="default"/>
      </w:rPr>
    </w:lvl>
    <w:lvl w:ilvl="2" w:tplc="04100005" w:tentative="1">
      <w:start w:val="1"/>
      <w:numFmt w:val="bullet"/>
      <w:lvlText w:val=""/>
      <w:lvlJc w:val="left"/>
      <w:pPr>
        <w:ind w:left="2557" w:hanging="360"/>
      </w:pPr>
      <w:rPr>
        <w:rFonts w:ascii="Wingdings" w:hAnsi="Wingdings" w:hint="default"/>
      </w:rPr>
    </w:lvl>
    <w:lvl w:ilvl="3" w:tplc="04100001" w:tentative="1">
      <w:start w:val="1"/>
      <w:numFmt w:val="bullet"/>
      <w:lvlText w:val=""/>
      <w:lvlJc w:val="left"/>
      <w:pPr>
        <w:ind w:left="3277" w:hanging="360"/>
      </w:pPr>
      <w:rPr>
        <w:rFonts w:ascii="Symbol" w:hAnsi="Symbol" w:hint="default"/>
      </w:rPr>
    </w:lvl>
    <w:lvl w:ilvl="4" w:tplc="04100003" w:tentative="1">
      <w:start w:val="1"/>
      <w:numFmt w:val="bullet"/>
      <w:lvlText w:val="o"/>
      <w:lvlJc w:val="left"/>
      <w:pPr>
        <w:ind w:left="3997" w:hanging="360"/>
      </w:pPr>
      <w:rPr>
        <w:rFonts w:ascii="Courier New" w:hAnsi="Courier New" w:cs="Courier New" w:hint="default"/>
      </w:rPr>
    </w:lvl>
    <w:lvl w:ilvl="5" w:tplc="04100005" w:tentative="1">
      <w:start w:val="1"/>
      <w:numFmt w:val="bullet"/>
      <w:lvlText w:val=""/>
      <w:lvlJc w:val="left"/>
      <w:pPr>
        <w:ind w:left="4717" w:hanging="360"/>
      </w:pPr>
      <w:rPr>
        <w:rFonts w:ascii="Wingdings" w:hAnsi="Wingdings" w:hint="default"/>
      </w:rPr>
    </w:lvl>
    <w:lvl w:ilvl="6" w:tplc="04100001" w:tentative="1">
      <w:start w:val="1"/>
      <w:numFmt w:val="bullet"/>
      <w:lvlText w:val=""/>
      <w:lvlJc w:val="left"/>
      <w:pPr>
        <w:ind w:left="5437" w:hanging="360"/>
      </w:pPr>
      <w:rPr>
        <w:rFonts w:ascii="Symbol" w:hAnsi="Symbol" w:hint="default"/>
      </w:rPr>
    </w:lvl>
    <w:lvl w:ilvl="7" w:tplc="04100003" w:tentative="1">
      <w:start w:val="1"/>
      <w:numFmt w:val="bullet"/>
      <w:lvlText w:val="o"/>
      <w:lvlJc w:val="left"/>
      <w:pPr>
        <w:ind w:left="6157" w:hanging="360"/>
      </w:pPr>
      <w:rPr>
        <w:rFonts w:ascii="Courier New" w:hAnsi="Courier New" w:cs="Courier New" w:hint="default"/>
      </w:rPr>
    </w:lvl>
    <w:lvl w:ilvl="8" w:tplc="04100005" w:tentative="1">
      <w:start w:val="1"/>
      <w:numFmt w:val="bullet"/>
      <w:lvlText w:val=""/>
      <w:lvlJc w:val="left"/>
      <w:pPr>
        <w:ind w:left="6877" w:hanging="360"/>
      </w:pPr>
      <w:rPr>
        <w:rFonts w:ascii="Wingdings" w:hAnsi="Wingdings" w:hint="default"/>
      </w:rPr>
    </w:lvl>
  </w:abstractNum>
  <w:abstractNum w:abstractNumId="1" w15:restartNumberingAfterBreak="0">
    <w:nsid w:val="08862494"/>
    <w:multiLevelType w:val="hybridMultilevel"/>
    <w:tmpl w:val="00647372"/>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2" w15:restartNumberingAfterBreak="0">
    <w:nsid w:val="139C7305"/>
    <w:multiLevelType w:val="multilevel"/>
    <w:tmpl w:val="9DA444D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A7F37AF"/>
    <w:multiLevelType w:val="hybridMultilevel"/>
    <w:tmpl w:val="DFB027FE"/>
    <w:lvl w:ilvl="0" w:tplc="04100001">
      <w:start w:val="1"/>
      <w:numFmt w:val="bullet"/>
      <w:lvlText w:val=""/>
      <w:lvlJc w:val="left"/>
      <w:pPr>
        <w:ind w:left="1117" w:hanging="360"/>
      </w:pPr>
      <w:rPr>
        <w:rFonts w:ascii="Symbol" w:hAnsi="Symbol" w:hint="default"/>
      </w:rPr>
    </w:lvl>
    <w:lvl w:ilvl="1" w:tplc="04100003" w:tentative="1">
      <w:start w:val="1"/>
      <w:numFmt w:val="bullet"/>
      <w:lvlText w:val="o"/>
      <w:lvlJc w:val="left"/>
      <w:pPr>
        <w:ind w:left="1837" w:hanging="360"/>
      </w:pPr>
      <w:rPr>
        <w:rFonts w:ascii="Courier New" w:hAnsi="Courier New" w:cs="Courier New" w:hint="default"/>
      </w:rPr>
    </w:lvl>
    <w:lvl w:ilvl="2" w:tplc="04100005" w:tentative="1">
      <w:start w:val="1"/>
      <w:numFmt w:val="bullet"/>
      <w:lvlText w:val=""/>
      <w:lvlJc w:val="left"/>
      <w:pPr>
        <w:ind w:left="2557" w:hanging="360"/>
      </w:pPr>
      <w:rPr>
        <w:rFonts w:ascii="Wingdings" w:hAnsi="Wingdings" w:hint="default"/>
      </w:rPr>
    </w:lvl>
    <w:lvl w:ilvl="3" w:tplc="04100001" w:tentative="1">
      <w:start w:val="1"/>
      <w:numFmt w:val="bullet"/>
      <w:lvlText w:val=""/>
      <w:lvlJc w:val="left"/>
      <w:pPr>
        <w:ind w:left="3277" w:hanging="360"/>
      </w:pPr>
      <w:rPr>
        <w:rFonts w:ascii="Symbol" w:hAnsi="Symbol" w:hint="default"/>
      </w:rPr>
    </w:lvl>
    <w:lvl w:ilvl="4" w:tplc="04100003" w:tentative="1">
      <w:start w:val="1"/>
      <w:numFmt w:val="bullet"/>
      <w:lvlText w:val="o"/>
      <w:lvlJc w:val="left"/>
      <w:pPr>
        <w:ind w:left="3997" w:hanging="360"/>
      </w:pPr>
      <w:rPr>
        <w:rFonts w:ascii="Courier New" w:hAnsi="Courier New" w:cs="Courier New" w:hint="default"/>
      </w:rPr>
    </w:lvl>
    <w:lvl w:ilvl="5" w:tplc="04100005" w:tentative="1">
      <w:start w:val="1"/>
      <w:numFmt w:val="bullet"/>
      <w:lvlText w:val=""/>
      <w:lvlJc w:val="left"/>
      <w:pPr>
        <w:ind w:left="4717" w:hanging="360"/>
      </w:pPr>
      <w:rPr>
        <w:rFonts w:ascii="Wingdings" w:hAnsi="Wingdings" w:hint="default"/>
      </w:rPr>
    </w:lvl>
    <w:lvl w:ilvl="6" w:tplc="04100001" w:tentative="1">
      <w:start w:val="1"/>
      <w:numFmt w:val="bullet"/>
      <w:lvlText w:val=""/>
      <w:lvlJc w:val="left"/>
      <w:pPr>
        <w:ind w:left="5437" w:hanging="360"/>
      </w:pPr>
      <w:rPr>
        <w:rFonts w:ascii="Symbol" w:hAnsi="Symbol" w:hint="default"/>
      </w:rPr>
    </w:lvl>
    <w:lvl w:ilvl="7" w:tplc="04100003" w:tentative="1">
      <w:start w:val="1"/>
      <w:numFmt w:val="bullet"/>
      <w:lvlText w:val="o"/>
      <w:lvlJc w:val="left"/>
      <w:pPr>
        <w:ind w:left="6157" w:hanging="360"/>
      </w:pPr>
      <w:rPr>
        <w:rFonts w:ascii="Courier New" w:hAnsi="Courier New" w:cs="Courier New" w:hint="default"/>
      </w:rPr>
    </w:lvl>
    <w:lvl w:ilvl="8" w:tplc="04100005" w:tentative="1">
      <w:start w:val="1"/>
      <w:numFmt w:val="bullet"/>
      <w:lvlText w:val=""/>
      <w:lvlJc w:val="left"/>
      <w:pPr>
        <w:ind w:left="6877" w:hanging="360"/>
      </w:pPr>
      <w:rPr>
        <w:rFonts w:ascii="Wingdings" w:hAnsi="Wingdings" w:hint="default"/>
      </w:rPr>
    </w:lvl>
  </w:abstractNum>
  <w:abstractNum w:abstractNumId="4" w15:restartNumberingAfterBreak="0">
    <w:nsid w:val="1C0472F5"/>
    <w:multiLevelType w:val="hybridMultilevel"/>
    <w:tmpl w:val="08D43040"/>
    <w:lvl w:ilvl="0" w:tplc="04100001">
      <w:start w:val="1"/>
      <w:numFmt w:val="bullet"/>
      <w:lvlText w:val=""/>
      <w:lvlJc w:val="left"/>
      <w:pPr>
        <w:ind w:left="1117" w:hanging="360"/>
      </w:pPr>
      <w:rPr>
        <w:rFonts w:ascii="Symbol" w:hAnsi="Symbol" w:hint="default"/>
      </w:rPr>
    </w:lvl>
    <w:lvl w:ilvl="1" w:tplc="04100003" w:tentative="1">
      <w:start w:val="1"/>
      <w:numFmt w:val="bullet"/>
      <w:lvlText w:val="o"/>
      <w:lvlJc w:val="left"/>
      <w:pPr>
        <w:ind w:left="1837" w:hanging="360"/>
      </w:pPr>
      <w:rPr>
        <w:rFonts w:ascii="Courier New" w:hAnsi="Courier New" w:cs="Courier New" w:hint="default"/>
      </w:rPr>
    </w:lvl>
    <w:lvl w:ilvl="2" w:tplc="04100005" w:tentative="1">
      <w:start w:val="1"/>
      <w:numFmt w:val="bullet"/>
      <w:lvlText w:val=""/>
      <w:lvlJc w:val="left"/>
      <w:pPr>
        <w:ind w:left="2557" w:hanging="360"/>
      </w:pPr>
      <w:rPr>
        <w:rFonts w:ascii="Wingdings" w:hAnsi="Wingdings" w:hint="default"/>
      </w:rPr>
    </w:lvl>
    <w:lvl w:ilvl="3" w:tplc="04100001" w:tentative="1">
      <w:start w:val="1"/>
      <w:numFmt w:val="bullet"/>
      <w:lvlText w:val=""/>
      <w:lvlJc w:val="left"/>
      <w:pPr>
        <w:ind w:left="3277" w:hanging="360"/>
      </w:pPr>
      <w:rPr>
        <w:rFonts w:ascii="Symbol" w:hAnsi="Symbol" w:hint="default"/>
      </w:rPr>
    </w:lvl>
    <w:lvl w:ilvl="4" w:tplc="04100003" w:tentative="1">
      <w:start w:val="1"/>
      <w:numFmt w:val="bullet"/>
      <w:lvlText w:val="o"/>
      <w:lvlJc w:val="left"/>
      <w:pPr>
        <w:ind w:left="3997" w:hanging="360"/>
      </w:pPr>
      <w:rPr>
        <w:rFonts w:ascii="Courier New" w:hAnsi="Courier New" w:cs="Courier New" w:hint="default"/>
      </w:rPr>
    </w:lvl>
    <w:lvl w:ilvl="5" w:tplc="04100005" w:tentative="1">
      <w:start w:val="1"/>
      <w:numFmt w:val="bullet"/>
      <w:lvlText w:val=""/>
      <w:lvlJc w:val="left"/>
      <w:pPr>
        <w:ind w:left="4717" w:hanging="360"/>
      </w:pPr>
      <w:rPr>
        <w:rFonts w:ascii="Wingdings" w:hAnsi="Wingdings" w:hint="default"/>
      </w:rPr>
    </w:lvl>
    <w:lvl w:ilvl="6" w:tplc="04100001" w:tentative="1">
      <w:start w:val="1"/>
      <w:numFmt w:val="bullet"/>
      <w:lvlText w:val=""/>
      <w:lvlJc w:val="left"/>
      <w:pPr>
        <w:ind w:left="5437" w:hanging="360"/>
      </w:pPr>
      <w:rPr>
        <w:rFonts w:ascii="Symbol" w:hAnsi="Symbol" w:hint="default"/>
      </w:rPr>
    </w:lvl>
    <w:lvl w:ilvl="7" w:tplc="04100003" w:tentative="1">
      <w:start w:val="1"/>
      <w:numFmt w:val="bullet"/>
      <w:lvlText w:val="o"/>
      <w:lvlJc w:val="left"/>
      <w:pPr>
        <w:ind w:left="6157" w:hanging="360"/>
      </w:pPr>
      <w:rPr>
        <w:rFonts w:ascii="Courier New" w:hAnsi="Courier New" w:cs="Courier New" w:hint="default"/>
      </w:rPr>
    </w:lvl>
    <w:lvl w:ilvl="8" w:tplc="04100005" w:tentative="1">
      <w:start w:val="1"/>
      <w:numFmt w:val="bullet"/>
      <w:lvlText w:val=""/>
      <w:lvlJc w:val="left"/>
      <w:pPr>
        <w:ind w:left="6877" w:hanging="360"/>
      </w:pPr>
      <w:rPr>
        <w:rFonts w:ascii="Wingdings" w:hAnsi="Wingdings" w:hint="default"/>
      </w:rPr>
    </w:lvl>
  </w:abstractNum>
  <w:abstractNum w:abstractNumId="5" w15:restartNumberingAfterBreak="0">
    <w:nsid w:val="1F995730"/>
    <w:multiLevelType w:val="hybridMultilevel"/>
    <w:tmpl w:val="449228FE"/>
    <w:lvl w:ilvl="0" w:tplc="04100001">
      <w:start w:val="1"/>
      <w:numFmt w:val="bullet"/>
      <w:lvlText w:val=""/>
      <w:lvlJc w:val="left"/>
      <w:pPr>
        <w:ind w:left="1117" w:hanging="360"/>
      </w:pPr>
      <w:rPr>
        <w:rFonts w:ascii="Symbol" w:hAnsi="Symbol" w:hint="default"/>
      </w:rPr>
    </w:lvl>
    <w:lvl w:ilvl="1" w:tplc="04100003" w:tentative="1">
      <w:start w:val="1"/>
      <w:numFmt w:val="bullet"/>
      <w:lvlText w:val="o"/>
      <w:lvlJc w:val="left"/>
      <w:pPr>
        <w:ind w:left="1837" w:hanging="360"/>
      </w:pPr>
      <w:rPr>
        <w:rFonts w:ascii="Courier New" w:hAnsi="Courier New" w:cs="Courier New" w:hint="default"/>
      </w:rPr>
    </w:lvl>
    <w:lvl w:ilvl="2" w:tplc="04100005" w:tentative="1">
      <w:start w:val="1"/>
      <w:numFmt w:val="bullet"/>
      <w:lvlText w:val=""/>
      <w:lvlJc w:val="left"/>
      <w:pPr>
        <w:ind w:left="2557" w:hanging="360"/>
      </w:pPr>
      <w:rPr>
        <w:rFonts w:ascii="Wingdings" w:hAnsi="Wingdings" w:hint="default"/>
      </w:rPr>
    </w:lvl>
    <w:lvl w:ilvl="3" w:tplc="04100001" w:tentative="1">
      <w:start w:val="1"/>
      <w:numFmt w:val="bullet"/>
      <w:lvlText w:val=""/>
      <w:lvlJc w:val="left"/>
      <w:pPr>
        <w:ind w:left="3277" w:hanging="360"/>
      </w:pPr>
      <w:rPr>
        <w:rFonts w:ascii="Symbol" w:hAnsi="Symbol" w:hint="default"/>
      </w:rPr>
    </w:lvl>
    <w:lvl w:ilvl="4" w:tplc="04100003" w:tentative="1">
      <w:start w:val="1"/>
      <w:numFmt w:val="bullet"/>
      <w:lvlText w:val="o"/>
      <w:lvlJc w:val="left"/>
      <w:pPr>
        <w:ind w:left="3997" w:hanging="360"/>
      </w:pPr>
      <w:rPr>
        <w:rFonts w:ascii="Courier New" w:hAnsi="Courier New" w:cs="Courier New" w:hint="default"/>
      </w:rPr>
    </w:lvl>
    <w:lvl w:ilvl="5" w:tplc="04100005" w:tentative="1">
      <w:start w:val="1"/>
      <w:numFmt w:val="bullet"/>
      <w:lvlText w:val=""/>
      <w:lvlJc w:val="left"/>
      <w:pPr>
        <w:ind w:left="4717" w:hanging="360"/>
      </w:pPr>
      <w:rPr>
        <w:rFonts w:ascii="Wingdings" w:hAnsi="Wingdings" w:hint="default"/>
      </w:rPr>
    </w:lvl>
    <w:lvl w:ilvl="6" w:tplc="04100001" w:tentative="1">
      <w:start w:val="1"/>
      <w:numFmt w:val="bullet"/>
      <w:lvlText w:val=""/>
      <w:lvlJc w:val="left"/>
      <w:pPr>
        <w:ind w:left="5437" w:hanging="360"/>
      </w:pPr>
      <w:rPr>
        <w:rFonts w:ascii="Symbol" w:hAnsi="Symbol" w:hint="default"/>
      </w:rPr>
    </w:lvl>
    <w:lvl w:ilvl="7" w:tplc="04100003" w:tentative="1">
      <w:start w:val="1"/>
      <w:numFmt w:val="bullet"/>
      <w:lvlText w:val="o"/>
      <w:lvlJc w:val="left"/>
      <w:pPr>
        <w:ind w:left="6157" w:hanging="360"/>
      </w:pPr>
      <w:rPr>
        <w:rFonts w:ascii="Courier New" w:hAnsi="Courier New" w:cs="Courier New" w:hint="default"/>
      </w:rPr>
    </w:lvl>
    <w:lvl w:ilvl="8" w:tplc="04100005" w:tentative="1">
      <w:start w:val="1"/>
      <w:numFmt w:val="bullet"/>
      <w:lvlText w:val=""/>
      <w:lvlJc w:val="left"/>
      <w:pPr>
        <w:ind w:left="6877" w:hanging="360"/>
      </w:pPr>
      <w:rPr>
        <w:rFonts w:ascii="Wingdings" w:hAnsi="Wingdings" w:hint="default"/>
      </w:rPr>
    </w:lvl>
  </w:abstractNum>
  <w:abstractNum w:abstractNumId="6" w15:restartNumberingAfterBreak="0">
    <w:nsid w:val="237F7597"/>
    <w:multiLevelType w:val="hybridMultilevel"/>
    <w:tmpl w:val="05F84C42"/>
    <w:lvl w:ilvl="0" w:tplc="04100001">
      <w:start w:val="1"/>
      <w:numFmt w:val="bullet"/>
      <w:lvlText w:val=""/>
      <w:lvlJc w:val="left"/>
      <w:pPr>
        <w:ind w:left="1117" w:hanging="360"/>
      </w:pPr>
      <w:rPr>
        <w:rFonts w:ascii="Symbol" w:hAnsi="Symbol" w:hint="default"/>
      </w:rPr>
    </w:lvl>
    <w:lvl w:ilvl="1" w:tplc="04100003" w:tentative="1">
      <w:start w:val="1"/>
      <w:numFmt w:val="bullet"/>
      <w:lvlText w:val="o"/>
      <w:lvlJc w:val="left"/>
      <w:pPr>
        <w:ind w:left="1837" w:hanging="360"/>
      </w:pPr>
      <w:rPr>
        <w:rFonts w:ascii="Courier New" w:hAnsi="Courier New" w:cs="Courier New" w:hint="default"/>
      </w:rPr>
    </w:lvl>
    <w:lvl w:ilvl="2" w:tplc="04100005" w:tentative="1">
      <w:start w:val="1"/>
      <w:numFmt w:val="bullet"/>
      <w:lvlText w:val=""/>
      <w:lvlJc w:val="left"/>
      <w:pPr>
        <w:ind w:left="2557" w:hanging="360"/>
      </w:pPr>
      <w:rPr>
        <w:rFonts w:ascii="Wingdings" w:hAnsi="Wingdings" w:hint="default"/>
      </w:rPr>
    </w:lvl>
    <w:lvl w:ilvl="3" w:tplc="04100001" w:tentative="1">
      <w:start w:val="1"/>
      <w:numFmt w:val="bullet"/>
      <w:lvlText w:val=""/>
      <w:lvlJc w:val="left"/>
      <w:pPr>
        <w:ind w:left="3277" w:hanging="360"/>
      </w:pPr>
      <w:rPr>
        <w:rFonts w:ascii="Symbol" w:hAnsi="Symbol" w:hint="default"/>
      </w:rPr>
    </w:lvl>
    <w:lvl w:ilvl="4" w:tplc="04100003" w:tentative="1">
      <w:start w:val="1"/>
      <w:numFmt w:val="bullet"/>
      <w:lvlText w:val="o"/>
      <w:lvlJc w:val="left"/>
      <w:pPr>
        <w:ind w:left="3997" w:hanging="360"/>
      </w:pPr>
      <w:rPr>
        <w:rFonts w:ascii="Courier New" w:hAnsi="Courier New" w:cs="Courier New" w:hint="default"/>
      </w:rPr>
    </w:lvl>
    <w:lvl w:ilvl="5" w:tplc="04100005" w:tentative="1">
      <w:start w:val="1"/>
      <w:numFmt w:val="bullet"/>
      <w:lvlText w:val=""/>
      <w:lvlJc w:val="left"/>
      <w:pPr>
        <w:ind w:left="4717" w:hanging="360"/>
      </w:pPr>
      <w:rPr>
        <w:rFonts w:ascii="Wingdings" w:hAnsi="Wingdings" w:hint="default"/>
      </w:rPr>
    </w:lvl>
    <w:lvl w:ilvl="6" w:tplc="04100001" w:tentative="1">
      <w:start w:val="1"/>
      <w:numFmt w:val="bullet"/>
      <w:lvlText w:val=""/>
      <w:lvlJc w:val="left"/>
      <w:pPr>
        <w:ind w:left="5437" w:hanging="360"/>
      </w:pPr>
      <w:rPr>
        <w:rFonts w:ascii="Symbol" w:hAnsi="Symbol" w:hint="default"/>
      </w:rPr>
    </w:lvl>
    <w:lvl w:ilvl="7" w:tplc="04100003" w:tentative="1">
      <w:start w:val="1"/>
      <w:numFmt w:val="bullet"/>
      <w:lvlText w:val="o"/>
      <w:lvlJc w:val="left"/>
      <w:pPr>
        <w:ind w:left="6157" w:hanging="360"/>
      </w:pPr>
      <w:rPr>
        <w:rFonts w:ascii="Courier New" w:hAnsi="Courier New" w:cs="Courier New" w:hint="default"/>
      </w:rPr>
    </w:lvl>
    <w:lvl w:ilvl="8" w:tplc="04100005" w:tentative="1">
      <w:start w:val="1"/>
      <w:numFmt w:val="bullet"/>
      <w:lvlText w:val=""/>
      <w:lvlJc w:val="left"/>
      <w:pPr>
        <w:ind w:left="6877" w:hanging="360"/>
      </w:pPr>
      <w:rPr>
        <w:rFonts w:ascii="Wingdings" w:hAnsi="Wingdings" w:hint="default"/>
      </w:rPr>
    </w:lvl>
  </w:abstractNum>
  <w:abstractNum w:abstractNumId="7" w15:restartNumberingAfterBreak="0">
    <w:nsid w:val="2E1478E3"/>
    <w:multiLevelType w:val="hybridMultilevel"/>
    <w:tmpl w:val="02780738"/>
    <w:lvl w:ilvl="0" w:tplc="04100001">
      <w:start w:val="1"/>
      <w:numFmt w:val="bullet"/>
      <w:lvlText w:val=""/>
      <w:lvlJc w:val="left"/>
      <w:pPr>
        <w:ind w:left="1117" w:hanging="360"/>
      </w:pPr>
      <w:rPr>
        <w:rFonts w:ascii="Symbol" w:hAnsi="Symbol" w:hint="default"/>
      </w:rPr>
    </w:lvl>
    <w:lvl w:ilvl="1" w:tplc="04100003" w:tentative="1">
      <w:start w:val="1"/>
      <w:numFmt w:val="bullet"/>
      <w:lvlText w:val="o"/>
      <w:lvlJc w:val="left"/>
      <w:pPr>
        <w:ind w:left="1837" w:hanging="360"/>
      </w:pPr>
      <w:rPr>
        <w:rFonts w:ascii="Courier New" w:hAnsi="Courier New" w:cs="Courier New" w:hint="default"/>
      </w:rPr>
    </w:lvl>
    <w:lvl w:ilvl="2" w:tplc="04100005" w:tentative="1">
      <w:start w:val="1"/>
      <w:numFmt w:val="bullet"/>
      <w:lvlText w:val=""/>
      <w:lvlJc w:val="left"/>
      <w:pPr>
        <w:ind w:left="2557" w:hanging="360"/>
      </w:pPr>
      <w:rPr>
        <w:rFonts w:ascii="Wingdings" w:hAnsi="Wingdings" w:hint="default"/>
      </w:rPr>
    </w:lvl>
    <w:lvl w:ilvl="3" w:tplc="04100001" w:tentative="1">
      <w:start w:val="1"/>
      <w:numFmt w:val="bullet"/>
      <w:lvlText w:val=""/>
      <w:lvlJc w:val="left"/>
      <w:pPr>
        <w:ind w:left="3277" w:hanging="360"/>
      </w:pPr>
      <w:rPr>
        <w:rFonts w:ascii="Symbol" w:hAnsi="Symbol" w:hint="default"/>
      </w:rPr>
    </w:lvl>
    <w:lvl w:ilvl="4" w:tplc="04100003" w:tentative="1">
      <w:start w:val="1"/>
      <w:numFmt w:val="bullet"/>
      <w:lvlText w:val="o"/>
      <w:lvlJc w:val="left"/>
      <w:pPr>
        <w:ind w:left="3997" w:hanging="360"/>
      </w:pPr>
      <w:rPr>
        <w:rFonts w:ascii="Courier New" w:hAnsi="Courier New" w:cs="Courier New" w:hint="default"/>
      </w:rPr>
    </w:lvl>
    <w:lvl w:ilvl="5" w:tplc="04100005" w:tentative="1">
      <w:start w:val="1"/>
      <w:numFmt w:val="bullet"/>
      <w:lvlText w:val=""/>
      <w:lvlJc w:val="left"/>
      <w:pPr>
        <w:ind w:left="4717" w:hanging="360"/>
      </w:pPr>
      <w:rPr>
        <w:rFonts w:ascii="Wingdings" w:hAnsi="Wingdings" w:hint="default"/>
      </w:rPr>
    </w:lvl>
    <w:lvl w:ilvl="6" w:tplc="04100001" w:tentative="1">
      <w:start w:val="1"/>
      <w:numFmt w:val="bullet"/>
      <w:lvlText w:val=""/>
      <w:lvlJc w:val="left"/>
      <w:pPr>
        <w:ind w:left="5437" w:hanging="360"/>
      </w:pPr>
      <w:rPr>
        <w:rFonts w:ascii="Symbol" w:hAnsi="Symbol" w:hint="default"/>
      </w:rPr>
    </w:lvl>
    <w:lvl w:ilvl="7" w:tplc="04100003" w:tentative="1">
      <w:start w:val="1"/>
      <w:numFmt w:val="bullet"/>
      <w:lvlText w:val="o"/>
      <w:lvlJc w:val="left"/>
      <w:pPr>
        <w:ind w:left="6157" w:hanging="360"/>
      </w:pPr>
      <w:rPr>
        <w:rFonts w:ascii="Courier New" w:hAnsi="Courier New" w:cs="Courier New" w:hint="default"/>
      </w:rPr>
    </w:lvl>
    <w:lvl w:ilvl="8" w:tplc="04100005" w:tentative="1">
      <w:start w:val="1"/>
      <w:numFmt w:val="bullet"/>
      <w:lvlText w:val=""/>
      <w:lvlJc w:val="left"/>
      <w:pPr>
        <w:ind w:left="6877" w:hanging="360"/>
      </w:pPr>
      <w:rPr>
        <w:rFonts w:ascii="Wingdings" w:hAnsi="Wingdings" w:hint="default"/>
      </w:rPr>
    </w:lvl>
  </w:abstractNum>
  <w:abstractNum w:abstractNumId="8" w15:restartNumberingAfterBreak="0">
    <w:nsid w:val="2E9366B6"/>
    <w:multiLevelType w:val="hybridMultilevel"/>
    <w:tmpl w:val="561A95D2"/>
    <w:lvl w:ilvl="0" w:tplc="04100001">
      <w:start w:val="1"/>
      <w:numFmt w:val="bullet"/>
      <w:lvlText w:val=""/>
      <w:lvlJc w:val="left"/>
      <w:pPr>
        <w:ind w:left="1117" w:hanging="360"/>
      </w:pPr>
      <w:rPr>
        <w:rFonts w:ascii="Symbol" w:hAnsi="Symbol" w:hint="default"/>
      </w:rPr>
    </w:lvl>
    <w:lvl w:ilvl="1" w:tplc="04100003" w:tentative="1">
      <w:start w:val="1"/>
      <w:numFmt w:val="bullet"/>
      <w:lvlText w:val="o"/>
      <w:lvlJc w:val="left"/>
      <w:pPr>
        <w:ind w:left="1837" w:hanging="360"/>
      </w:pPr>
      <w:rPr>
        <w:rFonts w:ascii="Courier New" w:hAnsi="Courier New" w:cs="Courier New" w:hint="default"/>
      </w:rPr>
    </w:lvl>
    <w:lvl w:ilvl="2" w:tplc="04100005" w:tentative="1">
      <w:start w:val="1"/>
      <w:numFmt w:val="bullet"/>
      <w:lvlText w:val=""/>
      <w:lvlJc w:val="left"/>
      <w:pPr>
        <w:ind w:left="2557" w:hanging="360"/>
      </w:pPr>
      <w:rPr>
        <w:rFonts w:ascii="Wingdings" w:hAnsi="Wingdings" w:hint="default"/>
      </w:rPr>
    </w:lvl>
    <w:lvl w:ilvl="3" w:tplc="04100001" w:tentative="1">
      <w:start w:val="1"/>
      <w:numFmt w:val="bullet"/>
      <w:lvlText w:val=""/>
      <w:lvlJc w:val="left"/>
      <w:pPr>
        <w:ind w:left="3277" w:hanging="360"/>
      </w:pPr>
      <w:rPr>
        <w:rFonts w:ascii="Symbol" w:hAnsi="Symbol" w:hint="default"/>
      </w:rPr>
    </w:lvl>
    <w:lvl w:ilvl="4" w:tplc="04100003" w:tentative="1">
      <w:start w:val="1"/>
      <w:numFmt w:val="bullet"/>
      <w:lvlText w:val="o"/>
      <w:lvlJc w:val="left"/>
      <w:pPr>
        <w:ind w:left="3997" w:hanging="360"/>
      </w:pPr>
      <w:rPr>
        <w:rFonts w:ascii="Courier New" w:hAnsi="Courier New" w:cs="Courier New" w:hint="default"/>
      </w:rPr>
    </w:lvl>
    <w:lvl w:ilvl="5" w:tplc="04100005" w:tentative="1">
      <w:start w:val="1"/>
      <w:numFmt w:val="bullet"/>
      <w:lvlText w:val=""/>
      <w:lvlJc w:val="left"/>
      <w:pPr>
        <w:ind w:left="4717" w:hanging="360"/>
      </w:pPr>
      <w:rPr>
        <w:rFonts w:ascii="Wingdings" w:hAnsi="Wingdings" w:hint="default"/>
      </w:rPr>
    </w:lvl>
    <w:lvl w:ilvl="6" w:tplc="04100001" w:tentative="1">
      <w:start w:val="1"/>
      <w:numFmt w:val="bullet"/>
      <w:lvlText w:val=""/>
      <w:lvlJc w:val="left"/>
      <w:pPr>
        <w:ind w:left="5437" w:hanging="360"/>
      </w:pPr>
      <w:rPr>
        <w:rFonts w:ascii="Symbol" w:hAnsi="Symbol" w:hint="default"/>
      </w:rPr>
    </w:lvl>
    <w:lvl w:ilvl="7" w:tplc="04100003" w:tentative="1">
      <w:start w:val="1"/>
      <w:numFmt w:val="bullet"/>
      <w:lvlText w:val="o"/>
      <w:lvlJc w:val="left"/>
      <w:pPr>
        <w:ind w:left="6157" w:hanging="360"/>
      </w:pPr>
      <w:rPr>
        <w:rFonts w:ascii="Courier New" w:hAnsi="Courier New" w:cs="Courier New" w:hint="default"/>
      </w:rPr>
    </w:lvl>
    <w:lvl w:ilvl="8" w:tplc="04100005" w:tentative="1">
      <w:start w:val="1"/>
      <w:numFmt w:val="bullet"/>
      <w:lvlText w:val=""/>
      <w:lvlJc w:val="left"/>
      <w:pPr>
        <w:ind w:left="6877" w:hanging="360"/>
      </w:pPr>
      <w:rPr>
        <w:rFonts w:ascii="Wingdings" w:hAnsi="Wingdings" w:hint="default"/>
      </w:rPr>
    </w:lvl>
  </w:abstractNum>
  <w:abstractNum w:abstractNumId="9" w15:restartNumberingAfterBreak="0">
    <w:nsid w:val="30E9114D"/>
    <w:multiLevelType w:val="hybridMultilevel"/>
    <w:tmpl w:val="EF7E4F1E"/>
    <w:lvl w:ilvl="0" w:tplc="0410000F">
      <w:start w:val="1"/>
      <w:numFmt w:val="decimal"/>
      <w:lvlText w:val="%1."/>
      <w:lvlJc w:val="left"/>
      <w:pPr>
        <w:ind w:left="1117" w:hanging="360"/>
      </w:pPr>
      <w:rPr>
        <w:rFonts w:hint="default"/>
      </w:rPr>
    </w:lvl>
    <w:lvl w:ilvl="1" w:tplc="04100003" w:tentative="1">
      <w:start w:val="1"/>
      <w:numFmt w:val="bullet"/>
      <w:lvlText w:val="o"/>
      <w:lvlJc w:val="left"/>
      <w:pPr>
        <w:ind w:left="1837" w:hanging="360"/>
      </w:pPr>
      <w:rPr>
        <w:rFonts w:ascii="Courier New" w:hAnsi="Courier New" w:cs="Courier New" w:hint="default"/>
      </w:rPr>
    </w:lvl>
    <w:lvl w:ilvl="2" w:tplc="04100005" w:tentative="1">
      <w:start w:val="1"/>
      <w:numFmt w:val="bullet"/>
      <w:lvlText w:val=""/>
      <w:lvlJc w:val="left"/>
      <w:pPr>
        <w:ind w:left="2557" w:hanging="360"/>
      </w:pPr>
      <w:rPr>
        <w:rFonts w:ascii="Wingdings" w:hAnsi="Wingdings" w:hint="default"/>
      </w:rPr>
    </w:lvl>
    <w:lvl w:ilvl="3" w:tplc="04100001" w:tentative="1">
      <w:start w:val="1"/>
      <w:numFmt w:val="bullet"/>
      <w:lvlText w:val=""/>
      <w:lvlJc w:val="left"/>
      <w:pPr>
        <w:ind w:left="3277" w:hanging="360"/>
      </w:pPr>
      <w:rPr>
        <w:rFonts w:ascii="Symbol" w:hAnsi="Symbol" w:hint="default"/>
      </w:rPr>
    </w:lvl>
    <w:lvl w:ilvl="4" w:tplc="04100003" w:tentative="1">
      <w:start w:val="1"/>
      <w:numFmt w:val="bullet"/>
      <w:lvlText w:val="o"/>
      <w:lvlJc w:val="left"/>
      <w:pPr>
        <w:ind w:left="3997" w:hanging="360"/>
      </w:pPr>
      <w:rPr>
        <w:rFonts w:ascii="Courier New" w:hAnsi="Courier New" w:cs="Courier New" w:hint="default"/>
      </w:rPr>
    </w:lvl>
    <w:lvl w:ilvl="5" w:tplc="04100005" w:tentative="1">
      <w:start w:val="1"/>
      <w:numFmt w:val="bullet"/>
      <w:lvlText w:val=""/>
      <w:lvlJc w:val="left"/>
      <w:pPr>
        <w:ind w:left="4717" w:hanging="360"/>
      </w:pPr>
      <w:rPr>
        <w:rFonts w:ascii="Wingdings" w:hAnsi="Wingdings" w:hint="default"/>
      </w:rPr>
    </w:lvl>
    <w:lvl w:ilvl="6" w:tplc="04100001" w:tentative="1">
      <w:start w:val="1"/>
      <w:numFmt w:val="bullet"/>
      <w:lvlText w:val=""/>
      <w:lvlJc w:val="left"/>
      <w:pPr>
        <w:ind w:left="5437" w:hanging="360"/>
      </w:pPr>
      <w:rPr>
        <w:rFonts w:ascii="Symbol" w:hAnsi="Symbol" w:hint="default"/>
      </w:rPr>
    </w:lvl>
    <w:lvl w:ilvl="7" w:tplc="04100003" w:tentative="1">
      <w:start w:val="1"/>
      <w:numFmt w:val="bullet"/>
      <w:lvlText w:val="o"/>
      <w:lvlJc w:val="left"/>
      <w:pPr>
        <w:ind w:left="6157" w:hanging="360"/>
      </w:pPr>
      <w:rPr>
        <w:rFonts w:ascii="Courier New" w:hAnsi="Courier New" w:cs="Courier New" w:hint="default"/>
      </w:rPr>
    </w:lvl>
    <w:lvl w:ilvl="8" w:tplc="04100005" w:tentative="1">
      <w:start w:val="1"/>
      <w:numFmt w:val="bullet"/>
      <w:lvlText w:val=""/>
      <w:lvlJc w:val="left"/>
      <w:pPr>
        <w:ind w:left="6877" w:hanging="360"/>
      </w:pPr>
      <w:rPr>
        <w:rFonts w:ascii="Wingdings" w:hAnsi="Wingdings" w:hint="default"/>
      </w:rPr>
    </w:lvl>
  </w:abstractNum>
  <w:abstractNum w:abstractNumId="10" w15:restartNumberingAfterBreak="0">
    <w:nsid w:val="3C0E1F3A"/>
    <w:multiLevelType w:val="hybridMultilevel"/>
    <w:tmpl w:val="F22AE69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DBC28FF"/>
    <w:multiLevelType w:val="hybridMultilevel"/>
    <w:tmpl w:val="169E112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60805B19"/>
    <w:multiLevelType w:val="hybridMultilevel"/>
    <w:tmpl w:val="1BA02A6A"/>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3" w15:restartNumberingAfterBreak="0">
    <w:nsid w:val="6E810DEE"/>
    <w:multiLevelType w:val="hybridMultilevel"/>
    <w:tmpl w:val="7C9E42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F5D00B4"/>
    <w:multiLevelType w:val="hybridMultilevel"/>
    <w:tmpl w:val="59F8DD72"/>
    <w:lvl w:ilvl="0" w:tplc="04100001">
      <w:start w:val="1"/>
      <w:numFmt w:val="bullet"/>
      <w:lvlText w:val=""/>
      <w:lvlJc w:val="left"/>
      <w:pPr>
        <w:ind w:left="3990" w:hanging="360"/>
      </w:pPr>
      <w:rPr>
        <w:rFonts w:ascii="Symbol" w:hAnsi="Symbol" w:hint="default"/>
      </w:rPr>
    </w:lvl>
    <w:lvl w:ilvl="1" w:tplc="04100003" w:tentative="1">
      <w:start w:val="1"/>
      <w:numFmt w:val="bullet"/>
      <w:lvlText w:val="o"/>
      <w:lvlJc w:val="left"/>
      <w:pPr>
        <w:ind w:left="4710" w:hanging="360"/>
      </w:pPr>
      <w:rPr>
        <w:rFonts w:ascii="Courier New" w:hAnsi="Courier New" w:cs="Courier New" w:hint="default"/>
      </w:rPr>
    </w:lvl>
    <w:lvl w:ilvl="2" w:tplc="04100005" w:tentative="1">
      <w:start w:val="1"/>
      <w:numFmt w:val="bullet"/>
      <w:lvlText w:val=""/>
      <w:lvlJc w:val="left"/>
      <w:pPr>
        <w:ind w:left="5430" w:hanging="360"/>
      </w:pPr>
      <w:rPr>
        <w:rFonts w:ascii="Wingdings" w:hAnsi="Wingdings" w:hint="default"/>
      </w:rPr>
    </w:lvl>
    <w:lvl w:ilvl="3" w:tplc="04100001" w:tentative="1">
      <w:start w:val="1"/>
      <w:numFmt w:val="bullet"/>
      <w:lvlText w:val=""/>
      <w:lvlJc w:val="left"/>
      <w:pPr>
        <w:ind w:left="6150" w:hanging="360"/>
      </w:pPr>
      <w:rPr>
        <w:rFonts w:ascii="Symbol" w:hAnsi="Symbol" w:hint="default"/>
      </w:rPr>
    </w:lvl>
    <w:lvl w:ilvl="4" w:tplc="04100003" w:tentative="1">
      <w:start w:val="1"/>
      <w:numFmt w:val="bullet"/>
      <w:lvlText w:val="o"/>
      <w:lvlJc w:val="left"/>
      <w:pPr>
        <w:ind w:left="6870" w:hanging="360"/>
      </w:pPr>
      <w:rPr>
        <w:rFonts w:ascii="Courier New" w:hAnsi="Courier New" w:cs="Courier New" w:hint="default"/>
      </w:rPr>
    </w:lvl>
    <w:lvl w:ilvl="5" w:tplc="04100005" w:tentative="1">
      <w:start w:val="1"/>
      <w:numFmt w:val="bullet"/>
      <w:lvlText w:val=""/>
      <w:lvlJc w:val="left"/>
      <w:pPr>
        <w:ind w:left="7590" w:hanging="360"/>
      </w:pPr>
      <w:rPr>
        <w:rFonts w:ascii="Wingdings" w:hAnsi="Wingdings" w:hint="default"/>
      </w:rPr>
    </w:lvl>
    <w:lvl w:ilvl="6" w:tplc="04100001" w:tentative="1">
      <w:start w:val="1"/>
      <w:numFmt w:val="bullet"/>
      <w:lvlText w:val=""/>
      <w:lvlJc w:val="left"/>
      <w:pPr>
        <w:ind w:left="8310" w:hanging="360"/>
      </w:pPr>
      <w:rPr>
        <w:rFonts w:ascii="Symbol" w:hAnsi="Symbol" w:hint="default"/>
      </w:rPr>
    </w:lvl>
    <w:lvl w:ilvl="7" w:tplc="04100003" w:tentative="1">
      <w:start w:val="1"/>
      <w:numFmt w:val="bullet"/>
      <w:lvlText w:val="o"/>
      <w:lvlJc w:val="left"/>
      <w:pPr>
        <w:ind w:left="9030" w:hanging="360"/>
      </w:pPr>
      <w:rPr>
        <w:rFonts w:ascii="Courier New" w:hAnsi="Courier New" w:cs="Courier New" w:hint="default"/>
      </w:rPr>
    </w:lvl>
    <w:lvl w:ilvl="8" w:tplc="04100005" w:tentative="1">
      <w:start w:val="1"/>
      <w:numFmt w:val="bullet"/>
      <w:lvlText w:val=""/>
      <w:lvlJc w:val="left"/>
      <w:pPr>
        <w:ind w:left="9750" w:hanging="360"/>
      </w:pPr>
      <w:rPr>
        <w:rFonts w:ascii="Wingdings" w:hAnsi="Wingdings" w:hint="default"/>
      </w:rPr>
    </w:lvl>
  </w:abstractNum>
  <w:abstractNum w:abstractNumId="15" w15:restartNumberingAfterBreak="0">
    <w:nsid w:val="72881D36"/>
    <w:multiLevelType w:val="hybridMultilevel"/>
    <w:tmpl w:val="92F684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7070D64"/>
    <w:multiLevelType w:val="multilevel"/>
    <w:tmpl w:val="F0E08BA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D7136D2"/>
    <w:multiLevelType w:val="hybridMultilevel"/>
    <w:tmpl w:val="938A9A8C"/>
    <w:lvl w:ilvl="0" w:tplc="04100001">
      <w:start w:val="1"/>
      <w:numFmt w:val="bullet"/>
      <w:lvlText w:val=""/>
      <w:lvlJc w:val="left"/>
      <w:pPr>
        <w:ind w:left="1117" w:hanging="360"/>
      </w:pPr>
      <w:rPr>
        <w:rFonts w:ascii="Symbol" w:hAnsi="Symbol" w:hint="default"/>
      </w:rPr>
    </w:lvl>
    <w:lvl w:ilvl="1" w:tplc="04100003" w:tentative="1">
      <w:start w:val="1"/>
      <w:numFmt w:val="bullet"/>
      <w:lvlText w:val="o"/>
      <w:lvlJc w:val="left"/>
      <w:pPr>
        <w:ind w:left="1837" w:hanging="360"/>
      </w:pPr>
      <w:rPr>
        <w:rFonts w:ascii="Courier New" w:hAnsi="Courier New" w:cs="Courier New" w:hint="default"/>
      </w:rPr>
    </w:lvl>
    <w:lvl w:ilvl="2" w:tplc="04100005" w:tentative="1">
      <w:start w:val="1"/>
      <w:numFmt w:val="bullet"/>
      <w:lvlText w:val=""/>
      <w:lvlJc w:val="left"/>
      <w:pPr>
        <w:ind w:left="2557" w:hanging="360"/>
      </w:pPr>
      <w:rPr>
        <w:rFonts w:ascii="Wingdings" w:hAnsi="Wingdings" w:hint="default"/>
      </w:rPr>
    </w:lvl>
    <w:lvl w:ilvl="3" w:tplc="04100001" w:tentative="1">
      <w:start w:val="1"/>
      <w:numFmt w:val="bullet"/>
      <w:lvlText w:val=""/>
      <w:lvlJc w:val="left"/>
      <w:pPr>
        <w:ind w:left="3277" w:hanging="360"/>
      </w:pPr>
      <w:rPr>
        <w:rFonts w:ascii="Symbol" w:hAnsi="Symbol" w:hint="default"/>
      </w:rPr>
    </w:lvl>
    <w:lvl w:ilvl="4" w:tplc="04100003" w:tentative="1">
      <w:start w:val="1"/>
      <w:numFmt w:val="bullet"/>
      <w:lvlText w:val="o"/>
      <w:lvlJc w:val="left"/>
      <w:pPr>
        <w:ind w:left="3997" w:hanging="360"/>
      </w:pPr>
      <w:rPr>
        <w:rFonts w:ascii="Courier New" w:hAnsi="Courier New" w:cs="Courier New" w:hint="default"/>
      </w:rPr>
    </w:lvl>
    <w:lvl w:ilvl="5" w:tplc="04100005" w:tentative="1">
      <w:start w:val="1"/>
      <w:numFmt w:val="bullet"/>
      <w:lvlText w:val=""/>
      <w:lvlJc w:val="left"/>
      <w:pPr>
        <w:ind w:left="4717" w:hanging="360"/>
      </w:pPr>
      <w:rPr>
        <w:rFonts w:ascii="Wingdings" w:hAnsi="Wingdings" w:hint="default"/>
      </w:rPr>
    </w:lvl>
    <w:lvl w:ilvl="6" w:tplc="04100001" w:tentative="1">
      <w:start w:val="1"/>
      <w:numFmt w:val="bullet"/>
      <w:lvlText w:val=""/>
      <w:lvlJc w:val="left"/>
      <w:pPr>
        <w:ind w:left="5437" w:hanging="360"/>
      </w:pPr>
      <w:rPr>
        <w:rFonts w:ascii="Symbol" w:hAnsi="Symbol" w:hint="default"/>
      </w:rPr>
    </w:lvl>
    <w:lvl w:ilvl="7" w:tplc="04100003" w:tentative="1">
      <w:start w:val="1"/>
      <w:numFmt w:val="bullet"/>
      <w:lvlText w:val="o"/>
      <w:lvlJc w:val="left"/>
      <w:pPr>
        <w:ind w:left="6157" w:hanging="360"/>
      </w:pPr>
      <w:rPr>
        <w:rFonts w:ascii="Courier New" w:hAnsi="Courier New" w:cs="Courier New" w:hint="default"/>
      </w:rPr>
    </w:lvl>
    <w:lvl w:ilvl="8" w:tplc="04100005" w:tentative="1">
      <w:start w:val="1"/>
      <w:numFmt w:val="bullet"/>
      <w:lvlText w:val=""/>
      <w:lvlJc w:val="left"/>
      <w:pPr>
        <w:ind w:left="6877" w:hanging="360"/>
      </w:pPr>
      <w:rPr>
        <w:rFonts w:ascii="Wingdings" w:hAnsi="Wingdings" w:hint="default"/>
      </w:rPr>
    </w:lvl>
  </w:abstractNum>
  <w:num w:numId="1">
    <w:abstractNumId w:val="13"/>
  </w:num>
  <w:num w:numId="2">
    <w:abstractNumId w:val="10"/>
  </w:num>
  <w:num w:numId="3">
    <w:abstractNumId w:val="2"/>
  </w:num>
  <w:num w:numId="4">
    <w:abstractNumId w:val="15"/>
  </w:num>
  <w:num w:numId="5">
    <w:abstractNumId w:val="1"/>
  </w:num>
  <w:num w:numId="6">
    <w:abstractNumId w:val="14"/>
  </w:num>
  <w:num w:numId="7">
    <w:abstractNumId w:val="11"/>
  </w:num>
  <w:num w:numId="8">
    <w:abstractNumId w:val="0"/>
  </w:num>
  <w:num w:numId="9">
    <w:abstractNumId w:val="4"/>
  </w:num>
  <w:num w:numId="10">
    <w:abstractNumId w:val="5"/>
  </w:num>
  <w:num w:numId="11">
    <w:abstractNumId w:val="8"/>
  </w:num>
  <w:num w:numId="12">
    <w:abstractNumId w:val="9"/>
  </w:num>
  <w:num w:numId="13">
    <w:abstractNumId w:val="7"/>
  </w:num>
  <w:num w:numId="14">
    <w:abstractNumId w:val="16"/>
  </w:num>
  <w:num w:numId="15">
    <w:abstractNumId w:val="12"/>
  </w:num>
  <w:num w:numId="16">
    <w:abstractNumId w:val="17"/>
  </w:num>
  <w:num w:numId="17">
    <w:abstractNumId w:val="6"/>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A43"/>
    <w:rsid w:val="00015E4C"/>
    <w:rsid w:val="00020FBE"/>
    <w:rsid w:val="000316A1"/>
    <w:rsid w:val="00031865"/>
    <w:rsid w:val="000364B1"/>
    <w:rsid w:val="00037461"/>
    <w:rsid w:val="000379D4"/>
    <w:rsid w:val="0004386D"/>
    <w:rsid w:val="000479A3"/>
    <w:rsid w:val="00050302"/>
    <w:rsid w:val="000678C3"/>
    <w:rsid w:val="00072DA9"/>
    <w:rsid w:val="00073BC7"/>
    <w:rsid w:val="000778AF"/>
    <w:rsid w:val="000A3607"/>
    <w:rsid w:val="000A772B"/>
    <w:rsid w:val="000A7EE3"/>
    <w:rsid w:val="000B25D0"/>
    <w:rsid w:val="000D0EED"/>
    <w:rsid w:val="000D49C8"/>
    <w:rsid w:val="000D6BCF"/>
    <w:rsid w:val="000F3223"/>
    <w:rsid w:val="00100D26"/>
    <w:rsid w:val="001010E7"/>
    <w:rsid w:val="00124DBA"/>
    <w:rsid w:val="00131B01"/>
    <w:rsid w:val="00135068"/>
    <w:rsid w:val="00136670"/>
    <w:rsid w:val="00145A8A"/>
    <w:rsid w:val="0015431B"/>
    <w:rsid w:val="001556D4"/>
    <w:rsid w:val="00156107"/>
    <w:rsid w:val="0016384E"/>
    <w:rsid w:val="0017315A"/>
    <w:rsid w:val="00183302"/>
    <w:rsid w:val="00196864"/>
    <w:rsid w:val="001A0C77"/>
    <w:rsid w:val="001A40BD"/>
    <w:rsid w:val="001A4C5D"/>
    <w:rsid w:val="001B15A2"/>
    <w:rsid w:val="001B2607"/>
    <w:rsid w:val="001C4594"/>
    <w:rsid w:val="001D5097"/>
    <w:rsid w:val="001D7264"/>
    <w:rsid w:val="001E1977"/>
    <w:rsid w:val="001E29F4"/>
    <w:rsid w:val="001E6F2F"/>
    <w:rsid w:val="001F102F"/>
    <w:rsid w:val="001F37B5"/>
    <w:rsid w:val="001F4C4B"/>
    <w:rsid w:val="002127E0"/>
    <w:rsid w:val="002172C1"/>
    <w:rsid w:val="00224C09"/>
    <w:rsid w:val="00233177"/>
    <w:rsid w:val="00252380"/>
    <w:rsid w:val="00253B53"/>
    <w:rsid w:val="00254A82"/>
    <w:rsid w:val="002630B8"/>
    <w:rsid w:val="00263A16"/>
    <w:rsid w:val="00265A7F"/>
    <w:rsid w:val="00270A11"/>
    <w:rsid w:val="00272696"/>
    <w:rsid w:val="0027753A"/>
    <w:rsid w:val="00280D72"/>
    <w:rsid w:val="00281973"/>
    <w:rsid w:val="00286210"/>
    <w:rsid w:val="002936D5"/>
    <w:rsid w:val="002A08E8"/>
    <w:rsid w:val="002A0935"/>
    <w:rsid w:val="002B0189"/>
    <w:rsid w:val="002B6E62"/>
    <w:rsid w:val="002C34E5"/>
    <w:rsid w:val="002D3D21"/>
    <w:rsid w:val="002D5F7C"/>
    <w:rsid w:val="002F1D62"/>
    <w:rsid w:val="002F7533"/>
    <w:rsid w:val="00310916"/>
    <w:rsid w:val="00310DA2"/>
    <w:rsid w:val="003229C4"/>
    <w:rsid w:val="00322CA9"/>
    <w:rsid w:val="00341E6B"/>
    <w:rsid w:val="00344529"/>
    <w:rsid w:val="0034522B"/>
    <w:rsid w:val="00350356"/>
    <w:rsid w:val="00353E9D"/>
    <w:rsid w:val="00354D1E"/>
    <w:rsid w:val="003636BE"/>
    <w:rsid w:val="00366F51"/>
    <w:rsid w:val="003708BF"/>
    <w:rsid w:val="00371398"/>
    <w:rsid w:val="003A0B55"/>
    <w:rsid w:val="003A5982"/>
    <w:rsid w:val="003C3209"/>
    <w:rsid w:val="003C6F58"/>
    <w:rsid w:val="003D3644"/>
    <w:rsid w:val="003E0597"/>
    <w:rsid w:val="003E3C78"/>
    <w:rsid w:val="003E625D"/>
    <w:rsid w:val="003E7811"/>
    <w:rsid w:val="003F75FC"/>
    <w:rsid w:val="00402E6A"/>
    <w:rsid w:val="00407ED3"/>
    <w:rsid w:val="00414A5D"/>
    <w:rsid w:val="004157DA"/>
    <w:rsid w:val="004203A4"/>
    <w:rsid w:val="00420B6D"/>
    <w:rsid w:val="00425051"/>
    <w:rsid w:val="00426D9D"/>
    <w:rsid w:val="00431B8C"/>
    <w:rsid w:val="00432671"/>
    <w:rsid w:val="0043331E"/>
    <w:rsid w:val="00440BF0"/>
    <w:rsid w:val="00451668"/>
    <w:rsid w:val="00462528"/>
    <w:rsid w:val="00462CF9"/>
    <w:rsid w:val="00473A73"/>
    <w:rsid w:val="0048553E"/>
    <w:rsid w:val="00487F95"/>
    <w:rsid w:val="004A2CD6"/>
    <w:rsid w:val="004A4437"/>
    <w:rsid w:val="004A5A54"/>
    <w:rsid w:val="004B7C71"/>
    <w:rsid w:val="004C6EAE"/>
    <w:rsid w:val="004E639D"/>
    <w:rsid w:val="004F1069"/>
    <w:rsid w:val="004F3281"/>
    <w:rsid w:val="005057F5"/>
    <w:rsid w:val="0051464A"/>
    <w:rsid w:val="00517026"/>
    <w:rsid w:val="00535E0B"/>
    <w:rsid w:val="00540876"/>
    <w:rsid w:val="0054139F"/>
    <w:rsid w:val="005454C1"/>
    <w:rsid w:val="00552024"/>
    <w:rsid w:val="005609E4"/>
    <w:rsid w:val="005645CE"/>
    <w:rsid w:val="00573577"/>
    <w:rsid w:val="00590D90"/>
    <w:rsid w:val="005B04C4"/>
    <w:rsid w:val="005D367F"/>
    <w:rsid w:val="005F254D"/>
    <w:rsid w:val="005F4E33"/>
    <w:rsid w:val="005F4ED8"/>
    <w:rsid w:val="0061740C"/>
    <w:rsid w:val="00625025"/>
    <w:rsid w:val="006538CB"/>
    <w:rsid w:val="00653C2A"/>
    <w:rsid w:val="0065410F"/>
    <w:rsid w:val="006563E6"/>
    <w:rsid w:val="006617C8"/>
    <w:rsid w:val="00664A36"/>
    <w:rsid w:val="00665924"/>
    <w:rsid w:val="00681B35"/>
    <w:rsid w:val="006871F1"/>
    <w:rsid w:val="00690BF9"/>
    <w:rsid w:val="006930E1"/>
    <w:rsid w:val="0069603F"/>
    <w:rsid w:val="006A3939"/>
    <w:rsid w:val="006A7548"/>
    <w:rsid w:val="006B0274"/>
    <w:rsid w:val="006D28C9"/>
    <w:rsid w:val="006D4D38"/>
    <w:rsid w:val="006F557F"/>
    <w:rsid w:val="00701DF2"/>
    <w:rsid w:val="00716381"/>
    <w:rsid w:val="00724A33"/>
    <w:rsid w:val="007351A1"/>
    <w:rsid w:val="00757CCC"/>
    <w:rsid w:val="00763929"/>
    <w:rsid w:val="007669F2"/>
    <w:rsid w:val="00772C59"/>
    <w:rsid w:val="00773AD8"/>
    <w:rsid w:val="007835DC"/>
    <w:rsid w:val="0079374E"/>
    <w:rsid w:val="007B4D32"/>
    <w:rsid w:val="007C0816"/>
    <w:rsid w:val="007D1CC6"/>
    <w:rsid w:val="007D21BC"/>
    <w:rsid w:val="00802BBF"/>
    <w:rsid w:val="00805DBF"/>
    <w:rsid w:val="00806D60"/>
    <w:rsid w:val="00807CAA"/>
    <w:rsid w:val="008237D1"/>
    <w:rsid w:val="00825606"/>
    <w:rsid w:val="00827E05"/>
    <w:rsid w:val="00831AAE"/>
    <w:rsid w:val="00840E5F"/>
    <w:rsid w:val="00863C2A"/>
    <w:rsid w:val="00865F8F"/>
    <w:rsid w:val="00867BC9"/>
    <w:rsid w:val="008A5388"/>
    <w:rsid w:val="008A7DF2"/>
    <w:rsid w:val="008B6EFD"/>
    <w:rsid w:val="008D150E"/>
    <w:rsid w:val="008D68A6"/>
    <w:rsid w:val="008E2995"/>
    <w:rsid w:val="008F1A0D"/>
    <w:rsid w:val="008F423E"/>
    <w:rsid w:val="008F5790"/>
    <w:rsid w:val="00903F3D"/>
    <w:rsid w:val="00904E1D"/>
    <w:rsid w:val="009137D5"/>
    <w:rsid w:val="00925F2F"/>
    <w:rsid w:val="00955026"/>
    <w:rsid w:val="009624A4"/>
    <w:rsid w:val="00973EF5"/>
    <w:rsid w:val="00981E1D"/>
    <w:rsid w:val="009960C3"/>
    <w:rsid w:val="009C0847"/>
    <w:rsid w:val="009C1A2B"/>
    <w:rsid w:val="009C1C0A"/>
    <w:rsid w:val="009D7EA3"/>
    <w:rsid w:val="009E4C80"/>
    <w:rsid w:val="00A046CD"/>
    <w:rsid w:val="00A05AF1"/>
    <w:rsid w:val="00A17975"/>
    <w:rsid w:val="00A2727F"/>
    <w:rsid w:val="00A27B0C"/>
    <w:rsid w:val="00A31CB7"/>
    <w:rsid w:val="00A34165"/>
    <w:rsid w:val="00A42054"/>
    <w:rsid w:val="00A573E1"/>
    <w:rsid w:val="00A61CB8"/>
    <w:rsid w:val="00A64229"/>
    <w:rsid w:val="00A64230"/>
    <w:rsid w:val="00A65579"/>
    <w:rsid w:val="00A71494"/>
    <w:rsid w:val="00A77AA7"/>
    <w:rsid w:val="00A85BD6"/>
    <w:rsid w:val="00A97017"/>
    <w:rsid w:val="00AC4A61"/>
    <w:rsid w:val="00AF7841"/>
    <w:rsid w:val="00B12D0C"/>
    <w:rsid w:val="00B1654E"/>
    <w:rsid w:val="00B24BA1"/>
    <w:rsid w:val="00B25572"/>
    <w:rsid w:val="00B27A53"/>
    <w:rsid w:val="00B27B04"/>
    <w:rsid w:val="00B406A5"/>
    <w:rsid w:val="00B43E06"/>
    <w:rsid w:val="00B63BAD"/>
    <w:rsid w:val="00B65F6A"/>
    <w:rsid w:val="00B76F75"/>
    <w:rsid w:val="00B84145"/>
    <w:rsid w:val="00B86B28"/>
    <w:rsid w:val="00BA48E7"/>
    <w:rsid w:val="00BA6A27"/>
    <w:rsid w:val="00BB18BF"/>
    <w:rsid w:val="00BB5297"/>
    <w:rsid w:val="00BD1FBF"/>
    <w:rsid w:val="00BE2372"/>
    <w:rsid w:val="00C10C35"/>
    <w:rsid w:val="00C263EE"/>
    <w:rsid w:val="00C26DCC"/>
    <w:rsid w:val="00C51316"/>
    <w:rsid w:val="00C6135C"/>
    <w:rsid w:val="00C67A2B"/>
    <w:rsid w:val="00C74C63"/>
    <w:rsid w:val="00C9406F"/>
    <w:rsid w:val="00C96EBC"/>
    <w:rsid w:val="00CA0ABA"/>
    <w:rsid w:val="00CA13B3"/>
    <w:rsid w:val="00CB7BAA"/>
    <w:rsid w:val="00CF04F4"/>
    <w:rsid w:val="00CF2C0F"/>
    <w:rsid w:val="00CF31D3"/>
    <w:rsid w:val="00CF6B6A"/>
    <w:rsid w:val="00D00ED4"/>
    <w:rsid w:val="00D01ECC"/>
    <w:rsid w:val="00D2071A"/>
    <w:rsid w:val="00D20FD8"/>
    <w:rsid w:val="00D21991"/>
    <w:rsid w:val="00D21DA3"/>
    <w:rsid w:val="00D23C0F"/>
    <w:rsid w:val="00D2588F"/>
    <w:rsid w:val="00D36293"/>
    <w:rsid w:val="00D500B3"/>
    <w:rsid w:val="00D5402A"/>
    <w:rsid w:val="00D70F64"/>
    <w:rsid w:val="00D81296"/>
    <w:rsid w:val="00D82803"/>
    <w:rsid w:val="00D8689A"/>
    <w:rsid w:val="00D921DE"/>
    <w:rsid w:val="00D92BC3"/>
    <w:rsid w:val="00DB14BD"/>
    <w:rsid w:val="00DB3714"/>
    <w:rsid w:val="00DC3B11"/>
    <w:rsid w:val="00DD60C0"/>
    <w:rsid w:val="00DF5929"/>
    <w:rsid w:val="00E021E5"/>
    <w:rsid w:val="00E07678"/>
    <w:rsid w:val="00E13BE7"/>
    <w:rsid w:val="00E228DB"/>
    <w:rsid w:val="00E26FEB"/>
    <w:rsid w:val="00E463FB"/>
    <w:rsid w:val="00E53F5E"/>
    <w:rsid w:val="00E837E4"/>
    <w:rsid w:val="00E93265"/>
    <w:rsid w:val="00E9704C"/>
    <w:rsid w:val="00EB77DE"/>
    <w:rsid w:val="00EC767F"/>
    <w:rsid w:val="00ED3036"/>
    <w:rsid w:val="00EE3192"/>
    <w:rsid w:val="00EE3A86"/>
    <w:rsid w:val="00EE3D00"/>
    <w:rsid w:val="00EF1BFF"/>
    <w:rsid w:val="00EF461C"/>
    <w:rsid w:val="00F14518"/>
    <w:rsid w:val="00F30B67"/>
    <w:rsid w:val="00F32496"/>
    <w:rsid w:val="00F40C4A"/>
    <w:rsid w:val="00F415F2"/>
    <w:rsid w:val="00F45515"/>
    <w:rsid w:val="00F54B79"/>
    <w:rsid w:val="00F564F1"/>
    <w:rsid w:val="00F65499"/>
    <w:rsid w:val="00F65CED"/>
    <w:rsid w:val="00F73443"/>
    <w:rsid w:val="00F74A43"/>
    <w:rsid w:val="00F80A88"/>
    <w:rsid w:val="00F82319"/>
    <w:rsid w:val="00F841C4"/>
    <w:rsid w:val="00F84AF8"/>
    <w:rsid w:val="00F91D48"/>
    <w:rsid w:val="00F926F9"/>
    <w:rsid w:val="00F96515"/>
    <w:rsid w:val="00FB2FB7"/>
    <w:rsid w:val="00FB5AF7"/>
    <w:rsid w:val="00FB6D69"/>
    <w:rsid w:val="00FC5606"/>
    <w:rsid w:val="00FC7C0B"/>
    <w:rsid w:val="00FD6EC1"/>
    <w:rsid w:val="00FE2165"/>
    <w:rsid w:val="00FE3CBF"/>
    <w:rsid w:val="00FF356D"/>
    <w:rsid w:val="00FF79F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04F6CE-5CEC-42CF-AC24-E7216D31B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196864"/>
    <w:rPr>
      <w:rFonts w:ascii="Times New Roman" w:hAnsi="Times New Roman"/>
    </w:rPr>
  </w:style>
  <w:style w:type="paragraph" w:styleId="Titolo1">
    <w:name w:val="heading 1"/>
    <w:basedOn w:val="Normale"/>
    <w:next w:val="Normale"/>
    <w:link w:val="Titolo1Carattere"/>
    <w:uiPriority w:val="9"/>
    <w:qFormat/>
    <w:rsid w:val="001E29F4"/>
    <w:pPr>
      <w:keepNext/>
      <w:keepLines/>
      <w:spacing w:before="240" w:after="0"/>
      <w:outlineLvl w:val="0"/>
    </w:pPr>
    <w:rPr>
      <w:rFonts w:eastAsiaTheme="majorEastAsia" w:cstheme="majorBidi"/>
      <w:b/>
      <w:i/>
      <w:color w:val="262626" w:themeColor="text1" w:themeTint="D9"/>
      <w:sz w:val="32"/>
      <w:szCs w:val="32"/>
    </w:rPr>
  </w:style>
  <w:style w:type="paragraph" w:styleId="Titolo2">
    <w:name w:val="heading 2"/>
    <w:basedOn w:val="Normale"/>
    <w:next w:val="Normale"/>
    <w:link w:val="Titolo2Carattere"/>
    <w:uiPriority w:val="9"/>
    <w:unhideWhenUsed/>
    <w:qFormat/>
    <w:rsid w:val="00196864"/>
    <w:pPr>
      <w:keepNext/>
      <w:keepLines/>
      <w:spacing w:before="40" w:after="0"/>
      <w:outlineLvl w:val="1"/>
    </w:pPr>
    <w:rPr>
      <w:rFonts w:eastAsiaTheme="majorEastAsia" w:cstheme="majorBidi"/>
      <w:i/>
      <w:color w:val="262626" w:themeColor="text1" w:themeTint="D9"/>
      <w:sz w:val="24"/>
      <w:szCs w:val="28"/>
    </w:rPr>
  </w:style>
  <w:style w:type="paragraph" w:styleId="Titolo3">
    <w:name w:val="heading 3"/>
    <w:basedOn w:val="Normale"/>
    <w:next w:val="Normale"/>
    <w:link w:val="Titolo3Carattere"/>
    <w:uiPriority w:val="9"/>
    <w:unhideWhenUsed/>
    <w:qFormat/>
    <w:rsid w:val="00DB14B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Titolo4">
    <w:name w:val="heading 4"/>
    <w:basedOn w:val="Normale"/>
    <w:next w:val="Normale"/>
    <w:link w:val="Titolo4Carattere"/>
    <w:uiPriority w:val="9"/>
    <w:semiHidden/>
    <w:unhideWhenUsed/>
    <w:qFormat/>
    <w:rsid w:val="00DB14BD"/>
    <w:pPr>
      <w:keepNext/>
      <w:keepLines/>
      <w:spacing w:before="40" w:after="0"/>
      <w:outlineLvl w:val="3"/>
    </w:pPr>
    <w:rPr>
      <w:rFonts w:asciiTheme="majorHAnsi" w:eastAsiaTheme="majorEastAsia" w:hAnsiTheme="majorHAnsi" w:cstheme="majorBidi"/>
      <w:i/>
      <w:iCs/>
      <w:color w:val="404040" w:themeColor="text1" w:themeTint="BF"/>
    </w:rPr>
  </w:style>
  <w:style w:type="paragraph" w:styleId="Titolo5">
    <w:name w:val="heading 5"/>
    <w:basedOn w:val="Normale"/>
    <w:next w:val="Normale"/>
    <w:link w:val="Titolo5Carattere"/>
    <w:uiPriority w:val="9"/>
    <w:semiHidden/>
    <w:unhideWhenUsed/>
    <w:qFormat/>
    <w:rsid w:val="00DB14BD"/>
    <w:pPr>
      <w:keepNext/>
      <w:keepLines/>
      <w:spacing w:before="40" w:after="0"/>
      <w:outlineLvl w:val="4"/>
    </w:pPr>
    <w:rPr>
      <w:rFonts w:asciiTheme="majorHAnsi" w:eastAsiaTheme="majorEastAsia" w:hAnsiTheme="majorHAnsi" w:cstheme="majorBidi"/>
      <w:color w:val="404040" w:themeColor="text1" w:themeTint="BF"/>
    </w:rPr>
  </w:style>
  <w:style w:type="paragraph" w:styleId="Titolo6">
    <w:name w:val="heading 6"/>
    <w:basedOn w:val="Normale"/>
    <w:next w:val="Normale"/>
    <w:link w:val="Titolo6Carattere"/>
    <w:uiPriority w:val="9"/>
    <w:semiHidden/>
    <w:unhideWhenUsed/>
    <w:qFormat/>
    <w:rsid w:val="00DB14BD"/>
    <w:pPr>
      <w:keepNext/>
      <w:keepLines/>
      <w:spacing w:before="40" w:after="0"/>
      <w:outlineLvl w:val="5"/>
    </w:pPr>
    <w:rPr>
      <w:rFonts w:asciiTheme="majorHAnsi" w:eastAsiaTheme="majorEastAsia" w:hAnsiTheme="majorHAnsi" w:cstheme="majorBidi"/>
    </w:rPr>
  </w:style>
  <w:style w:type="paragraph" w:styleId="Titolo7">
    <w:name w:val="heading 7"/>
    <w:basedOn w:val="Normale"/>
    <w:next w:val="Normale"/>
    <w:link w:val="Titolo7Carattere"/>
    <w:uiPriority w:val="9"/>
    <w:semiHidden/>
    <w:unhideWhenUsed/>
    <w:qFormat/>
    <w:rsid w:val="00DB14BD"/>
    <w:pPr>
      <w:keepNext/>
      <w:keepLines/>
      <w:spacing w:before="40" w:after="0"/>
      <w:outlineLvl w:val="6"/>
    </w:pPr>
    <w:rPr>
      <w:rFonts w:asciiTheme="majorHAnsi" w:eastAsiaTheme="majorEastAsia" w:hAnsiTheme="majorHAnsi" w:cstheme="majorBidi"/>
      <w:i/>
      <w:iCs/>
    </w:rPr>
  </w:style>
  <w:style w:type="paragraph" w:styleId="Titolo8">
    <w:name w:val="heading 8"/>
    <w:basedOn w:val="Normale"/>
    <w:next w:val="Normale"/>
    <w:link w:val="Titolo8Carattere"/>
    <w:uiPriority w:val="9"/>
    <w:semiHidden/>
    <w:unhideWhenUsed/>
    <w:qFormat/>
    <w:rsid w:val="00DB14B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Titolo9">
    <w:name w:val="heading 9"/>
    <w:basedOn w:val="Normale"/>
    <w:next w:val="Normale"/>
    <w:link w:val="Titolo9Carattere"/>
    <w:uiPriority w:val="9"/>
    <w:semiHidden/>
    <w:unhideWhenUsed/>
    <w:qFormat/>
    <w:rsid w:val="00DB14B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E29F4"/>
    <w:rPr>
      <w:rFonts w:ascii="Times New Roman" w:eastAsiaTheme="majorEastAsia" w:hAnsi="Times New Roman" w:cstheme="majorBidi"/>
      <w:b/>
      <w:i/>
      <w:color w:val="262626" w:themeColor="text1" w:themeTint="D9"/>
      <w:sz w:val="32"/>
      <w:szCs w:val="32"/>
    </w:rPr>
  </w:style>
  <w:style w:type="paragraph" w:styleId="Titolo">
    <w:name w:val="Title"/>
    <w:basedOn w:val="Normale"/>
    <w:next w:val="Normale"/>
    <w:link w:val="TitoloCarattere"/>
    <w:uiPriority w:val="10"/>
    <w:qFormat/>
    <w:rsid w:val="00DB14BD"/>
    <w:pPr>
      <w:spacing w:after="0" w:line="240" w:lineRule="auto"/>
      <w:contextualSpacing/>
    </w:pPr>
    <w:rPr>
      <w:rFonts w:asciiTheme="majorHAnsi" w:eastAsiaTheme="majorEastAsia" w:hAnsiTheme="majorHAnsi" w:cstheme="majorBidi"/>
      <w:spacing w:val="-10"/>
      <w:sz w:val="56"/>
      <w:szCs w:val="56"/>
    </w:rPr>
  </w:style>
  <w:style w:type="character" w:customStyle="1" w:styleId="TitoloCarattere">
    <w:name w:val="Titolo Carattere"/>
    <w:basedOn w:val="Carpredefinitoparagrafo"/>
    <w:link w:val="Titolo"/>
    <w:uiPriority w:val="10"/>
    <w:rsid w:val="00DB14BD"/>
    <w:rPr>
      <w:rFonts w:asciiTheme="majorHAnsi" w:eastAsiaTheme="majorEastAsia" w:hAnsiTheme="majorHAnsi" w:cstheme="majorBidi"/>
      <w:spacing w:val="-10"/>
      <w:sz w:val="56"/>
      <w:szCs w:val="56"/>
    </w:rPr>
  </w:style>
  <w:style w:type="character" w:customStyle="1" w:styleId="Titolo2Carattere">
    <w:name w:val="Titolo 2 Carattere"/>
    <w:basedOn w:val="Carpredefinitoparagrafo"/>
    <w:link w:val="Titolo2"/>
    <w:uiPriority w:val="9"/>
    <w:rsid w:val="00196864"/>
    <w:rPr>
      <w:rFonts w:ascii="Times New Roman" w:eastAsiaTheme="majorEastAsia" w:hAnsi="Times New Roman" w:cstheme="majorBidi"/>
      <w:i/>
      <w:color w:val="262626" w:themeColor="text1" w:themeTint="D9"/>
      <w:sz w:val="24"/>
      <w:szCs w:val="28"/>
    </w:rPr>
  </w:style>
  <w:style w:type="character" w:customStyle="1" w:styleId="Titolo3Carattere">
    <w:name w:val="Titolo 3 Carattere"/>
    <w:basedOn w:val="Carpredefinitoparagrafo"/>
    <w:link w:val="Titolo3"/>
    <w:uiPriority w:val="9"/>
    <w:rsid w:val="00DB14BD"/>
    <w:rPr>
      <w:rFonts w:asciiTheme="majorHAnsi" w:eastAsiaTheme="majorEastAsia" w:hAnsiTheme="majorHAnsi" w:cstheme="majorBidi"/>
      <w:color w:val="0D0D0D" w:themeColor="text1" w:themeTint="F2"/>
      <w:sz w:val="24"/>
      <w:szCs w:val="24"/>
    </w:rPr>
  </w:style>
  <w:style w:type="character" w:customStyle="1" w:styleId="Titolo4Carattere">
    <w:name w:val="Titolo 4 Carattere"/>
    <w:basedOn w:val="Carpredefinitoparagrafo"/>
    <w:link w:val="Titolo4"/>
    <w:uiPriority w:val="9"/>
    <w:semiHidden/>
    <w:rsid w:val="00DB14BD"/>
    <w:rPr>
      <w:rFonts w:asciiTheme="majorHAnsi" w:eastAsiaTheme="majorEastAsia" w:hAnsiTheme="majorHAnsi" w:cstheme="majorBidi"/>
      <w:i/>
      <w:iCs/>
      <w:color w:val="404040" w:themeColor="text1" w:themeTint="BF"/>
    </w:rPr>
  </w:style>
  <w:style w:type="character" w:customStyle="1" w:styleId="Titolo5Carattere">
    <w:name w:val="Titolo 5 Carattere"/>
    <w:basedOn w:val="Carpredefinitoparagrafo"/>
    <w:link w:val="Titolo5"/>
    <w:uiPriority w:val="9"/>
    <w:semiHidden/>
    <w:rsid w:val="00DB14BD"/>
    <w:rPr>
      <w:rFonts w:asciiTheme="majorHAnsi" w:eastAsiaTheme="majorEastAsia" w:hAnsiTheme="majorHAnsi" w:cstheme="majorBidi"/>
      <w:color w:val="404040" w:themeColor="text1" w:themeTint="BF"/>
    </w:rPr>
  </w:style>
  <w:style w:type="character" w:customStyle="1" w:styleId="Titolo6Carattere">
    <w:name w:val="Titolo 6 Carattere"/>
    <w:basedOn w:val="Carpredefinitoparagrafo"/>
    <w:link w:val="Titolo6"/>
    <w:uiPriority w:val="9"/>
    <w:semiHidden/>
    <w:rsid w:val="00DB14BD"/>
    <w:rPr>
      <w:rFonts w:asciiTheme="majorHAnsi" w:eastAsiaTheme="majorEastAsia" w:hAnsiTheme="majorHAnsi" w:cstheme="majorBidi"/>
    </w:rPr>
  </w:style>
  <w:style w:type="character" w:customStyle="1" w:styleId="Titolo7Carattere">
    <w:name w:val="Titolo 7 Carattere"/>
    <w:basedOn w:val="Carpredefinitoparagrafo"/>
    <w:link w:val="Titolo7"/>
    <w:uiPriority w:val="9"/>
    <w:semiHidden/>
    <w:rsid w:val="00DB14BD"/>
    <w:rPr>
      <w:rFonts w:asciiTheme="majorHAnsi" w:eastAsiaTheme="majorEastAsia" w:hAnsiTheme="majorHAnsi" w:cstheme="majorBidi"/>
      <w:i/>
      <w:iCs/>
    </w:rPr>
  </w:style>
  <w:style w:type="character" w:customStyle="1" w:styleId="Titolo8Carattere">
    <w:name w:val="Titolo 8 Carattere"/>
    <w:basedOn w:val="Carpredefinitoparagrafo"/>
    <w:link w:val="Titolo8"/>
    <w:uiPriority w:val="9"/>
    <w:semiHidden/>
    <w:rsid w:val="00DB14BD"/>
    <w:rPr>
      <w:rFonts w:asciiTheme="majorHAnsi" w:eastAsiaTheme="majorEastAsia" w:hAnsiTheme="majorHAnsi" w:cstheme="majorBidi"/>
      <w:color w:val="262626" w:themeColor="text1" w:themeTint="D9"/>
      <w:sz w:val="21"/>
      <w:szCs w:val="21"/>
    </w:rPr>
  </w:style>
  <w:style w:type="character" w:customStyle="1" w:styleId="Titolo9Carattere">
    <w:name w:val="Titolo 9 Carattere"/>
    <w:basedOn w:val="Carpredefinitoparagrafo"/>
    <w:link w:val="Titolo9"/>
    <w:uiPriority w:val="9"/>
    <w:semiHidden/>
    <w:rsid w:val="00DB14BD"/>
    <w:rPr>
      <w:rFonts w:asciiTheme="majorHAnsi" w:eastAsiaTheme="majorEastAsia" w:hAnsiTheme="majorHAnsi" w:cstheme="majorBidi"/>
      <w:i/>
      <w:iCs/>
      <w:color w:val="262626" w:themeColor="text1" w:themeTint="D9"/>
      <w:sz w:val="21"/>
      <w:szCs w:val="21"/>
    </w:rPr>
  </w:style>
  <w:style w:type="paragraph" w:styleId="Didascalia">
    <w:name w:val="caption"/>
    <w:basedOn w:val="Normale"/>
    <w:next w:val="Normale"/>
    <w:uiPriority w:val="35"/>
    <w:unhideWhenUsed/>
    <w:qFormat/>
    <w:rsid w:val="00DB14BD"/>
    <w:pPr>
      <w:spacing w:after="200" w:line="240" w:lineRule="auto"/>
    </w:pPr>
    <w:rPr>
      <w:i/>
      <w:iCs/>
      <w:color w:val="44546A" w:themeColor="text2"/>
      <w:sz w:val="18"/>
      <w:szCs w:val="18"/>
    </w:rPr>
  </w:style>
  <w:style w:type="paragraph" w:styleId="Sottotitolo">
    <w:name w:val="Subtitle"/>
    <w:basedOn w:val="Normale"/>
    <w:next w:val="Normale"/>
    <w:link w:val="SottotitoloCarattere"/>
    <w:uiPriority w:val="11"/>
    <w:qFormat/>
    <w:rsid w:val="00DB14BD"/>
    <w:pPr>
      <w:numPr>
        <w:ilvl w:val="1"/>
      </w:numPr>
    </w:pPr>
    <w:rPr>
      <w:color w:val="5A5A5A" w:themeColor="text1" w:themeTint="A5"/>
      <w:spacing w:val="15"/>
    </w:rPr>
  </w:style>
  <w:style w:type="character" w:customStyle="1" w:styleId="SottotitoloCarattere">
    <w:name w:val="Sottotitolo Carattere"/>
    <w:basedOn w:val="Carpredefinitoparagrafo"/>
    <w:link w:val="Sottotitolo"/>
    <w:uiPriority w:val="11"/>
    <w:rsid w:val="00DB14BD"/>
    <w:rPr>
      <w:color w:val="5A5A5A" w:themeColor="text1" w:themeTint="A5"/>
      <w:spacing w:val="15"/>
    </w:rPr>
  </w:style>
  <w:style w:type="character" w:styleId="Enfasigrassetto">
    <w:name w:val="Strong"/>
    <w:basedOn w:val="Carpredefinitoparagrafo"/>
    <w:uiPriority w:val="22"/>
    <w:qFormat/>
    <w:rsid w:val="00DB14BD"/>
    <w:rPr>
      <w:b/>
      <w:bCs/>
      <w:color w:val="auto"/>
    </w:rPr>
  </w:style>
  <w:style w:type="character" w:styleId="Enfasicorsivo">
    <w:name w:val="Emphasis"/>
    <w:basedOn w:val="Carpredefinitoparagrafo"/>
    <w:uiPriority w:val="20"/>
    <w:qFormat/>
    <w:rsid w:val="00DB14BD"/>
    <w:rPr>
      <w:i/>
      <w:iCs/>
      <w:color w:val="auto"/>
    </w:rPr>
  </w:style>
  <w:style w:type="paragraph" w:styleId="Nessunaspaziatura">
    <w:name w:val="No Spacing"/>
    <w:uiPriority w:val="1"/>
    <w:qFormat/>
    <w:rsid w:val="00196864"/>
    <w:pPr>
      <w:spacing w:after="0" w:line="240" w:lineRule="auto"/>
    </w:pPr>
    <w:rPr>
      <w:rFonts w:ascii="Times New Roman" w:hAnsi="Times New Roman"/>
      <w:b/>
      <w:sz w:val="32"/>
    </w:rPr>
  </w:style>
  <w:style w:type="paragraph" w:styleId="Citazione">
    <w:name w:val="Quote"/>
    <w:basedOn w:val="Normale"/>
    <w:next w:val="Normale"/>
    <w:link w:val="CitazioneCarattere"/>
    <w:uiPriority w:val="29"/>
    <w:qFormat/>
    <w:rsid w:val="00DB14BD"/>
    <w:pPr>
      <w:spacing w:before="200"/>
      <w:ind w:left="864" w:right="864"/>
    </w:pPr>
    <w:rPr>
      <w:i/>
      <w:iCs/>
      <w:color w:val="404040" w:themeColor="text1" w:themeTint="BF"/>
    </w:rPr>
  </w:style>
  <w:style w:type="character" w:customStyle="1" w:styleId="CitazioneCarattere">
    <w:name w:val="Citazione Carattere"/>
    <w:basedOn w:val="Carpredefinitoparagrafo"/>
    <w:link w:val="Citazione"/>
    <w:uiPriority w:val="29"/>
    <w:rsid w:val="00DB14BD"/>
    <w:rPr>
      <w:i/>
      <w:iCs/>
      <w:color w:val="404040" w:themeColor="text1" w:themeTint="BF"/>
    </w:rPr>
  </w:style>
  <w:style w:type="paragraph" w:styleId="Citazioneintensa">
    <w:name w:val="Intense Quote"/>
    <w:basedOn w:val="Normale"/>
    <w:next w:val="Normale"/>
    <w:link w:val="CitazioneintensaCarattere"/>
    <w:uiPriority w:val="30"/>
    <w:qFormat/>
    <w:rsid w:val="00DB14B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zioneintensaCarattere">
    <w:name w:val="Citazione intensa Carattere"/>
    <w:basedOn w:val="Carpredefinitoparagrafo"/>
    <w:link w:val="Citazioneintensa"/>
    <w:uiPriority w:val="30"/>
    <w:rsid w:val="00DB14BD"/>
    <w:rPr>
      <w:i/>
      <w:iCs/>
      <w:color w:val="404040" w:themeColor="text1" w:themeTint="BF"/>
    </w:rPr>
  </w:style>
  <w:style w:type="character" w:styleId="Enfasidelicata">
    <w:name w:val="Subtle Emphasis"/>
    <w:basedOn w:val="Carpredefinitoparagrafo"/>
    <w:uiPriority w:val="19"/>
    <w:qFormat/>
    <w:rsid w:val="00DB14BD"/>
    <w:rPr>
      <w:i/>
      <w:iCs/>
      <w:color w:val="404040" w:themeColor="text1" w:themeTint="BF"/>
    </w:rPr>
  </w:style>
  <w:style w:type="character" w:styleId="Enfasiintensa">
    <w:name w:val="Intense Emphasis"/>
    <w:basedOn w:val="Carpredefinitoparagrafo"/>
    <w:uiPriority w:val="21"/>
    <w:qFormat/>
    <w:rsid w:val="00DB14BD"/>
    <w:rPr>
      <w:b/>
      <w:bCs/>
      <w:i/>
      <w:iCs/>
      <w:color w:val="auto"/>
    </w:rPr>
  </w:style>
  <w:style w:type="character" w:styleId="Riferimentodelicato">
    <w:name w:val="Subtle Reference"/>
    <w:basedOn w:val="Carpredefinitoparagrafo"/>
    <w:uiPriority w:val="31"/>
    <w:qFormat/>
    <w:rsid w:val="00DB14BD"/>
    <w:rPr>
      <w:smallCaps/>
      <w:color w:val="404040" w:themeColor="text1" w:themeTint="BF"/>
    </w:rPr>
  </w:style>
  <w:style w:type="character" w:styleId="Riferimentointenso">
    <w:name w:val="Intense Reference"/>
    <w:basedOn w:val="Carpredefinitoparagrafo"/>
    <w:uiPriority w:val="32"/>
    <w:qFormat/>
    <w:rsid w:val="00DB14BD"/>
    <w:rPr>
      <w:b/>
      <w:bCs/>
      <w:smallCaps/>
      <w:color w:val="404040" w:themeColor="text1" w:themeTint="BF"/>
      <w:spacing w:val="5"/>
    </w:rPr>
  </w:style>
  <w:style w:type="character" w:styleId="Titolodellibro">
    <w:name w:val="Book Title"/>
    <w:basedOn w:val="Carpredefinitoparagrafo"/>
    <w:uiPriority w:val="33"/>
    <w:qFormat/>
    <w:rsid w:val="00DB14BD"/>
    <w:rPr>
      <w:b/>
      <w:bCs/>
      <w:i/>
      <w:iCs/>
      <w:spacing w:val="5"/>
    </w:rPr>
  </w:style>
  <w:style w:type="paragraph" w:styleId="Titolosommario">
    <w:name w:val="TOC Heading"/>
    <w:basedOn w:val="Titolo1"/>
    <w:next w:val="Normale"/>
    <w:uiPriority w:val="39"/>
    <w:unhideWhenUsed/>
    <w:qFormat/>
    <w:rsid w:val="00DB14BD"/>
    <w:pPr>
      <w:outlineLvl w:val="9"/>
    </w:pPr>
  </w:style>
  <w:style w:type="paragraph" w:styleId="Sommario1">
    <w:name w:val="toc 1"/>
    <w:basedOn w:val="Normale"/>
    <w:next w:val="Normale"/>
    <w:autoRedefine/>
    <w:uiPriority w:val="39"/>
    <w:unhideWhenUsed/>
    <w:rsid w:val="00A65579"/>
    <w:pPr>
      <w:spacing w:after="100"/>
    </w:pPr>
  </w:style>
  <w:style w:type="character" w:styleId="Collegamentoipertestuale">
    <w:name w:val="Hyperlink"/>
    <w:basedOn w:val="Carpredefinitoparagrafo"/>
    <w:uiPriority w:val="99"/>
    <w:unhideWhenUsed/>
    <w:rsid w:val="00A65579"/>
    <w:rPr>
      <w:color w:val="0563C1" w:themeColor="hyperlink"/>
      <w:u w:val="single"/>
    </w:rPr>
  </w:style>
  <w:style w:type="paragraph" w:styleId="Intestazione">
    <w:name w:val="header"/>
    <w:basedOn w:val="Normale"/>
    <w:link w:val="IntestazioneCarattere"/>
    <w:uiPriority w:val="99"/>
    <w:unhideWhenUsed/>
    <w:rsid w:val="00A655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65579"/>
  </w:style>
  <w:style w:type="paragraph" w:styleId="Pidipagina">
    <w:name w:val="footer"/>
    <w:basedOn w:val="Normale"/>
    <w:link w:val="PidipaginaCarattere"/>
    <w:uiPriority w:val="99"/>
    <w:unhideWhenUsed/>
    <w:rsid w:val="00A655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65579"/>
  </w:style>
  <w:style w:type="table" w:styleId="Grigliatabella">
    <w:name w:val="Table Grid"/>
    <w:basedOn w:val="Tabellanormale"/>
    <w:uiPriority w:val="39"/>
    <w:rsid w:val="008D6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263EE"/>
    <w:pPr>
      <w:ind w:left="720"/>
      <w:contextualSpacing/>
    </w:pPr>
  </w:style>
  <w:style w:type="paragraph" w:styleId="Testonotaapidipagina">
    <w:name w:val="footnote text"/>
    <w:basedOn w:val="Normale"/>
    <w:link w:val="TestonotaapidipaginaCarattere"/>
    <w:uiPriority w:val="99"/>
    <w:semiHidden/>
    <w:unhideWhenUsed/>
    <w:rsid w:val="002630B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630B8"/>
    <w:rPr>
      <w:sz w:val="20"/>
      <w:szCs w:val="20"/>
    </w:rPr>
  </w:style>
  <w:style w:type="character" w:styleId="Rimandonotaapidipagina">
    <w:name w:val="footnote reference"/>
    <w:basedOn w:val="Carpredefinitoparagrafo"/>
    <w:uiPriority w:val="99"/>
    <w:semiHidden/>
    <w:unhideWhenUsed/>
    <w:rsid w:val="002630B8"/>
    <w:rPr>
      <w:vertAlign w:val="superscript"/>
    </w:rPr>
  </w:style>
  <w:style w:type="paragraph" w:styleId="Sommario2">
    <w:name w:val="toc 2"/>
    <w:basedOn w:val="Normale"/>
    <w:next w:val="Normale"/>
    <w:autoRedefine/>
    <w:uiPriority w:val="39"/>
    <w:unhideWhenUsed/>
    <w:rsid w:val="0016384E"/>
    <w:pPr>
      <w:spacing w:after="100"/>
      <w:ind w:left="220"/>
    </w:pPr>
  </w:style>
  <w:style w:type="paragraph" w:styleId="Testofumetto">
    <w:name w:val="Balloon Text"/>
    <w:basedOn w:val="Normale"/>
    <w:link w:val="TestofumettoCarattere"/>
    <w:uiPriority w:val="99"/>
    <w:semiHidden/>
    <w:unhideWhenUsed/>
    <w:rsid w:val="001E29F4"/>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E29F4"/>
    <w:rPr>
      <w:rFonts w:ascii="Segoe UI" w:hAnsi="Segoe UI" w:cs="Segoe UI"/>
      <w:sz w:val="18"/>
      <w:szCs w:val="18"/>
    </w:rPr>
  </w:style>
  <w:style w:type="paragraph" w:styleId="Sommario3">
    <w:name w:val="toc 3"/>
    <w:basedOn w:val="Normale"/>
    <w:next w:val="Normale"/>
    <w:autoRedefine/>
    <w:uiPriority w:val="39"/>
    <w:unhideWhenUsed/>
    <w:rsid w:val="00903F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7416">
      <w:bodyDiv w:val="1"/>
      <w:marLeft w:val="0"/>
      <w:marRight w:val="0"/>
      <w:marTop w:val="0"/>
      <w:marBottom w:val="0"/>
      <w:divBdr>
        <w:top w:val="none" w:sz="0" w:space="0" w:color="auto"/>
        <w:left w:val="none" w:sz="0" w:space="0" w:color="auto"/>
        <w:bottom w:val="none" w:sz="0" w:space="0" w:color="auto"/>
        <w:right w:val="none" w:sz="0" w:space="0" w:color="auto"/>
      </w:divBdr>
    </w:div>
    <w:div w:id="215243859">
      <w:bodyDiv w:val="1"/>
      <w:marLeft w:val="0"/>
      <w:marRight w:val="0"/>
      <w:marTop w:val="0"/>
      <w:marBottom w:val="0"/>
      <w:divBdr>
        <w:top w:val="none" w:sz="0" w:space="0" w:color="auto"/>
        <w:left w:val="none" w:sz="0" w:space="0" w:color="auto"/>
        <w:bottom w:val="none" w:sz="0" w:space="0" w:color="auto"/>
        <w:right w:val="none" w:sz="0" w:space="0" w:color="auto"/>
      </w:divBdr>
    </w:div>
    <w:div w:id="343826838">
      <w:bodyDiv w:val="1"/>
      <w:marLeft w:val="0"/>
      <w:marRight w:val="0"/>
      <w:marTop w:val="0"/>
      <w:marBottom w:val="0"/>
      <w:divBdr>
        <w:top w:val="none" w:sz="0" w:space="0" w:color="auto"/>
        <w:left w:val="none" w:sz="0" w:space="0" w:color="auto"/>
        <w:bottom w:val="none" w:sz="0" w:space="0" w:color="auto"/>
        <w:right w:val="none" w:sz="0" w:space="0" w:color="auto"/>
      </w:divBdr>
    </w:div>
    <w:div w:id="402917526">
      <w:bodyDiv w:val="1"/>
      <w:marLeft w:val="0"/>
      <w:marRight w:val="0"/>
      <w:marTop w:val="0"/>
      <w:marBottom w:val="0"/>
      <w:divBdr>
        <w:top w:val="none" w:sz="0" w:space="0" w:color="auto"/>
        <w:left w:val="none" w:sz="0" w:space="0" w:color="auto"/>
        <w:bottom w:val="none" w:sz="0" w:space="0" w:color="auto"/>
        <w:right w:val="none" w:sz="0" w:space="0" w:color="auto"/>
      </w:divBdr>
    </w:div>
    <w:div w:id="810295140">
      <w:bodyDiv w:val="1"/>
      <w:marLeft w:val="0"/>
      <w:marRight w:val="0"/>
      <w:marTop w:val="0"/>
      <w:marBottom w:val="0"/>
      <w:divBdr>
        <w:top w:val="none" w:sz="0" w:space="0" w:color="auto"/>
        <w:left w:val="none" w:sz="0" w:space="0" w:color="auto"/>
        <w:bottom w:val="none" w:sz="0" w:space="0" w:color="auto"/>
        <w:right w:val="none" w:sz="0" w:space="0" w:color="auto"/>
      </w:divBdr>
    </w:div>
    <w:div w:id="1485850534">
      <w:bodyDiv w:val="1"/>
      <w:marLeft w:val="0"/>
      <w:marRight w:val="0"/>
      <w:marTop w:val="0"/>
      <w:marBottom w:val="0"/>
      <w:divBdr>
        <w:top w:val="none" w:sz="0" w:space="0" w:color="auto"/>
        <w:left w:val="none" w:sz="0" w:space="0" w:color="auto"/>
        <w:bottom w:val="none" w:sz="0" w:space="0" w:color="auto"/>
        <w:right w:val="none" w:sz="0" w:space="0" w:color="auto"/>
      </w:divBdr>
    </w:div>
    <w:div w:id="1542596717">
      <w:bodyDiv w:val="1"/>
      <w:marLeft w:val="0"/>
      <w:marRight w:val="0"/>
      <w:marTop w:val="0"/>
      <w:marBottom w:val="0"/>
      <w:divBdr>
        <w:top w:val="none" w:sz="0" w:space="0" w:color="auto"/>
        <w:left w:val="none" w:sz="0" w:space="0" w:color="auto"/>
        <w:bottom w:val="none" w:sz="0" w:space="0" w:color="auto"/>
        <w:right w:val="none" w:sz="0" w:space="0" w:color="auto"/>
      </w:divBdr>
    </w:div>
    <w:div w:id="1777480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5.xml"/><Relationship Id="rId21" Type="http://schemas.openxmlformats.org/officeDocument/2006/relationships/chart" Target="charts/chart30.xml"/><Relationship Id="rId34" Type="http://schemas.openxmlformats.org/officeDocument/2006/relationships/image" Target="media/image90.png"/><Relationship Id="rId42" Type="http://schemas.openxmlformats.org/officeDocument/2006/relationships/image" Target="media/image120.png"/><Relationship Id="rId47" Type="http://schemas.openxmlformats.org/officeDocument/2006/relationships/image" Target="media/image13.png"/><Relationship Id="rId50" Type="http://schemas.openxmlformats.org/officeDocument/2006/relationships/chart" Target="charts/chart100.xml"/><Relationship Id="rId55" Type="http://schemas.openxmlformats.org/officeDocument/2006/relationships/hyperlink" Target="http://www.bancaditalia.it/" TargetMode="External"/><Relationship Id="rId63" Type="http://schemas.openxmlformats.org/officeDocument/2006/relationships/hyperlink" Target="https://www.gov.u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60.xml"/><Relationship Id="rId11" Type="http://schemas.openxmlformats.org/officeDocument/2006/relationships/image" Target="media/image20.jpeg"/><Relationship Id="rId24" Type="http://schemas.openxmlformats.org/officeDocument/2006/relationships/image" Target="media/image7.png"/><Relationship Id="rId32" Type="http://schemas.openxmlformats.org/officeDocument/2006/relationships/hyperlink" Target="http://www.borsaitaliana.it/" TargetMode="External"/><Relationship Id="rId37" Type="http://schemas.openxmlformats.org/officeDocument/2006/relationships/image" Target="media/image10.png"/><Relationship Id="rId40" Type="http://schemas.openxmlformats.org/officeDocument/2006/relationships/image" Target="media/image110.png"/><Relationship Id="rId45" Type="http://schemas.openxmlformats.org/officeDocument/2006/relationships/chart" Target="charts/chart9.xml"/><Relationship Id="rId53" Type="http://schemas.openxmlformats.org/officeDocument/2006/relationships/hyperlink" Target="http://atlas.media.mit.edu/en/" TargetMode="External"/><Relationship Id="rId58" Type="http://schemas.openxmlformats.org/officeDocument/2006/relationships/hyperlink" Target="http://www.repubblica.it/esteri/2016/07/11/news/andrea_leadsom_pronta_a_lasciare_la_gara_per_la_guida_del_partito_conservatore_britannico-143841834/"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ft.com/content/851f6814-bd2f-11e6-8b45-b8b81dd5d080" TargetMode="External"/><Relationship Id="rId19" Type="http://schemas.openxmlformats.org/officeDocument/2006/relationships/chart" Target="charts/chart20.xml"/><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chart" Target="charts/chart50.xml"/><Relationship Id="rId30" Type="http://schemas.openxmlformats.org/officeDocument/2006/relationships/image" Target="media/image8.png"/><Relationship Id="rId35" Type="http://schemas.openxmlformats.org/officeDocument/2006/relationships/chart" Target="charts/chart7.xml"/><Relationship Id="rId43" Type="http://schemas.openxmlformats.org/officeDocument/2006/relationships/chart" Target="charts/chart8.xml"/><Relationship Id="rId48" Type="http://schemas.openxmlformats.org/officeDocument/2006/relationships/image" Target="media/image130.png"/><Relationship Id="rId56" Type="http://schemas.openxmlformats.org/officeDocument/2006/relationships/hyperlink" Target="http://www.bbc.com/news/uk-politics-21148282" TargetMode="External"/><Relationship Id="rId64" Type="http://schemas.openxmlformats.org/officeDocument/2006/relationships/hyperlink" Target="https://www.gov.uk/government/speeches/statement-from-the-new-prime-minister-theresa-may" TargetMode="External"/><Relationship Id="rId8" Type="http://schemas.openxmlformats.org/officeDocument/2006/relationships/image" Target="media/image1.jpeg"/><Relationship Id="rId51"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11.xml"/><Relationship Id="rId25" Type="http://schemas.openxmlformats.org/officeDocument/2006/relationships/image" Target="media/image70.png"/><Relationship Id="rId33" Type="http://schemas.openxmlformats.org/officeDocument/2006/relationships/image" Target="media/image9.png"/><Relationship Id="rId38" Type="http://schemas.openxmlformats.org/officeDocument/2006/relationships/image" Target="media/image100.png"/><Relationship Id="rId46" Type="http://schemas.openxmlformats.org/officeDocument/2006/relationships/chart" Target="charts/chart90.xml"/><Relationship Id="rId59" Type="http://schemas.openxmlformats.org/officeDocument/2006/relationships/hyperlink" Target="https://europa.eu/european-union/about-eu/history_it" TargetMode="External"/><Relationship Id="rId20" Type="http://schemas.openxmlformats.org/officeDocument/2006/relationships/chart" Target="charts/chart3.xml"/><Relationship Id="rId41" Type="http://schemas.openxmlformats.org/officeDocument/2006/relationships/image" Target="media/image12.png"/><Relationship Id="rId54" Type="http://schemas.openxmlformats.org/officeDocument/2006/relationships/hyperlink" Target="http://budgetresponsibility.org.uk/" TargetMode="External"/><Relationship Id="rId62" Type="http://schemas.openxmlformats.org/officeDocument/2006/relationships/hyperlink" Target="https://www.global-counsel.co.u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40.xml"/><Relationship Id="rId28" Type="http://schemas.openxmlformats.org/officeDocument/2006/relationships/chart" Target="charts/chart6.xml"/><Relationship Id="rId36" Type="http://schemas.openxmlformats.org/officeDocument/2006/relationships/chart" Target="charts/chart70.xml"/><Relationship Id="rId49" Type="http://schemas.openxmlformats.org/officeDocument/2006/relationships/chart" Target="charts/chart10.xml"/><Relationship Id="rId57" Type="http://schemas.openxmlformats.org/officeDocument/2006/relationships/hyperlink" Target="http://www.milanofinanza.it/" TargetMode="External"/><Relationship Id="rId10" Type="http://schemas.openxmlformats.org/officeDocument/2006/relationships/image" Target="media/image2.jpeg"/><Relationship Id="rId31" Type="http://schemas.openxmlformats.org/officeDocument/2006/relationships/image" Target="media/image80.png"/><Relationship Id="rId44" Type="http://schemas.openxmlformats.org/officeDocument/2006/relationships/chart" Target="charts/chart80.xml"/><Relationship Id="rId52" Type="http://schemas.openxmlformats.org/officeDocument/2006/relationships/image" Target="media/image140.jpeg"/><Relationship Id="rId60" Type="http://schemas.openxmlformats.org/officeDocument/2006/relationships/hyperlink" Target="https://www.ecb.europa.eu"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chart" Target="charts/chart2.xml"/><Relationship Id="rId39"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package" Target="../embeddings/Foglio_di_lavoro_di_Microsoft_Excel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Foglio_di_lavoro_di_Microsoft_Excel10.xlsx"/><Relationship Id="rId2" Type="http://schemas.microsoft.com/office/2011/relationships/chartColorStyle" Target="colors10.xml"/><Relationship Id="rId1" Type="http://schemas.microsoft.com/office/2011/relationships/chartStyle" Target="style10.xml"/></Relationships>
</file>

<file path=word/charts/_rels/chart100.xml.rels><?xml version="1.0" encoding="UTF-8" standalone="yes"?>
<Relationships xmlns="http://schemas.openxmlformats.org/package/2006/relationships"><Relationship Id="rId3" Type="http://schemas.openxmlformats.org/officeDocument/2006/relationships/package" Target="../embeddings/Foglio_di_lavoro_di_Microsoft_Excel100.xlsx"/><Relationship Id="rId2" Type="http://schemas.microsoft.com/office/2011/relationships/chartColorStyle" Target="colors100.xml"/><Relationship Id="rId1" Type="http://schemas.microsoft.com/office/2011/relationships/chartStyle" Target="style10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Foglio_di_lavoro_di_Microsoft_Excel11.xlsx"/><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oglio_di_lavoro_di_Microsoft_Excel2.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Foglio_di_lavoro_di_Microsoft_Excel20.xlsx"/><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package" Target="../embeddings/Foglio_di_lavoro_di_Microsoft_Excel3.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Foglio_di_lavoro_di_Microsoft_Excel30.xlsx"/><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package" Target="../embeddings/Foglio_di_lavoro_di_Microsoft_Excel4.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Foglio_di_lavoro_di_Microsoft_Excel40.xlsx"/><Relationship Id="rId2" Type="http://schemas.microsoft.com/office/2011/relationships/chartColorStyle" Target="colors40.xml"/><Relationship Id="rId1" Type="http://schemas.microsoft.com/office/2011/relationships/chartStyle" Target="style40.xml"/></Relationships>
</file>

<file path=word/charts/_rels/chart5.xml.rels><?xml version="1.0" encoding="UTF-8" standalone="yes"?>
<Relationships xmlns="http://schemas.openxmlformats.org/package/2006/relationships"><Relationship Id="rId3" Type="http://schemas.openxmlformats.org/officeDocument/2006/relationships/package" Target="../embeddings/Foglio_di_lavoro_di_Microsoft_Excel5.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Foglio_di_lavoro_di_Microsoft_Excel50.xlsx"/><Relationship Id="rId2" Type="http://schemas.microsoft.com/office/2011/relationships/chartColorStyle" Target="colors50.xml"/><Relationship Id="rId1" Type="http://schemas.microsoft.com/office/2011/relationships/chartStyle" Target="style50.xml"/></Relationships>
</file>

<file path=word/charts/_rels/chart6.xml.rels><?xml version="1.0" encoding="UTF-8" standalone="yes"?>
<Relationships xmlns="http://schemas.openxmlformats.org/package/2006/relationships"><Relationship Id="rId3" Type="http://schemas.openxmlformats.org/officeDocument/2006/relationships/package" Target="../embeddings/Foglio_di_lavoro_di_Microsoft_Excel6.xlsx"/><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package" Target="../embeddings/Foglio_di_lavoro_di_Microsoft_Excel60.xlsx"/><Relationship Id="rId2" Type="http://schemas.microsoft.com/office/2011/relationships/chartColorStyle" Target="colors60.xml"/><Relationship Id="rId1" Type="http://schemas.microsoft.com/office/2011/relationships/chartStyle" Target="style60.xml"/></Relationships>
</file>

<file path=word/charts/_rels/chart7.xml.rels><?xml version="1.0" encoding="UTF-8" standalone="yes"?>
<Relationships xmlns="http://schemas.openxmlformats.org/package/2006/relationships"><Relationship Id="rId3" Type="http://schemas.openxmlformats.org/officeDocument/2006/relationships/package" Target="../embeddings/Foglio_di_lavoro_di_Microsoft_Excel7.xlsx"/><Relationship Id="rId2" Type="http://schemas.microsoft.com/office/2011/relationships/chartColorStyle" Target="colors7.xml"/><Relationship Id="rId1" Type="http://schemas.microsoft.com/office/2011/relationships/chartStyle" Target="style7.xml"/></Relationships>
</file>

<file path=word/charts/_rels/chart70.xml.rels><?xml version="1.0" encoding="UTF-8" standalone="yes"?>
<Relationships xmlns="http://schemas.openxmlformats.org/package/2006/relationships"><Relationship Id="rId3" Type="http://schemas.openxmlformats.org/officeDocument/2006/relationships/package" Target="../embeddings/Foglio_di_lavoro_di_Microsoft_Excel70.xlsx"/><Relationship Id="rId2" Type="http://schemas.microsoft.com/office/2011/relationships/chartColorStyle" Target="colors70.xml"/><Relationship Id="rId1" Type="http://schemas.microsoft.com/office/2011/relationships/chartStyle" Target="style70.xml"/></Relationships>
</file>

<file path=word/charts/_rels/chart8.xml.rels><?xml version="1.0" encoding="UTF-8" standalone="yes"?>
<Relationships xmlns="http://schemas.openxmlformats.org/package/2006/relationships"><Relationship Id="rId3" Type="http://schemas.openxmlformats.org/officeDocument/2006/relationships/package" Target="../embeddings/Foglio_di_lavoro_di_Microsoft_Excel8.xlsx"/><Relationship Id="rId2" Type="http://schemas.microsoft.com/office/2011/relationships/chartColorStyle" Target="colors8.xml"/><Relationship Id="rId1" Type="http://schemas.microsoft.com/office/2011/relationships/chartStyle" Target="style8.xml"/></Relationships>
</file>

<file path=word/charts/_rels/chart80.xml.rels><?xml version="1.0" encoding="UTF-8" standalone="yes"?>
<Relationships xmlns="http://schemas.openxmlformats.org/package/2006/relationships"><Relationship Id="rId3" Type="http://schemas.openxmlformats.org/officeDocument/2006/relationships/package" Target="../embeddings/Foglio_di_lavoro_di_Microsoft_Excel80.xlsx"/><Relationship Id="rId2" Type="http://schemas.microsoft.com/office/2011/relationships/chartColorStyle" Target="colors80.xml"/><Relationship Id="rId1" Type="http://schemas.microsoft.com/office/2011/relationships/chartStyle" Target="style80.xml"/></Relationships>
</file>

<file path=word/charts/_rels/chart9.xml.rels><?xml version="1.0" encoding="UTF-8" standalone="yes"?>
<Relationships xmlns="http://schemas.openxmlformats.org/package/2006/relationships"><Relationship Id="rId3" Type="http://schemas.openxmlformats.org/officeDocument/2006/relationships/package" Target="../embeddings/Foglio_di_lavoro_di_Microsoft_Excel9.xlsx"/><Relationship Id="rId2" Type="http://schemas.microsoft.com/office/2011/relationships/chartColorStyle" Target="colors9.xml"/><Relationship Id="rId1" Type="http://schemas.microsoft.com/office/2011/relationships/chartStyle" Target="style9.xml"/></Relationships>
</file>

<file path=word/charts/_rels/chart90.xml.rels><?xml version="1.0" encoding="UTF-8" standalone="yes"?>
<Relationships xmlns="http://schemas.openxmlformats.org/package/2006/relationships"><Relationship Id="rId3" Type="http://schemas.openxmlformats.org/officeDocument/2006/relationships/package" Target="../embeddings/Foglio_di_lavoro_di_Microsoft_Excel90.xlsx"/><Relationship Id="rId2" Type="http://schemas.microsoft.com/office/2011/relationships/chartColorStyle" Target="colors90.xml"/><Relationship Id="rId1" Type="http://schemas.microsoft.com/office/2011/relationships/chartStyle" Target="style90.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Riassunto del commercio tra</a:t>
            </a:r>
            <a:r>
              <a:rPr lang="it-IT" baseline="0"/>
              <a:t> GB e paesi extra - UE (in milioni di £)</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2"/>
          <c:order val="2"/>
          <c:tx>
            <c:strRef>
              <c:f>Foglio1!$D$1</c:f>
              <c:strCache>
                <c:ptCount val="1"/>
                <c:pt idx="0">
                  <c:v>Non EU - saldo</c:v>
                </c:pt>
              </c:strCache>
            </c:strRef>
          </c:tx>
          <c:spPr>
            <a:solidFill>
              <a:schemeClr val="accent3"/>
            </a:solidFill>
            <a:ln>
              <a:noFill/>
            </a:ln>
            <a:effectLst/>
          </c:spPr>
          <c:invertIfNegative val="0"/>
          <c:cat>
            <c:numRef>
              <c:f>Foglio1!$A$2:$A$9</c:f>
              <c:numCache>
                <c:formatCode>General</c:formatCode>
                <c:ptCount val="8"/>
                <c:pt idx="0">
                  <c:v>2008</c:v>
                </c:pt>
                <c:pt idx="1">
                  <c:v>2009</c:v>
                </c:pt>
                <c:pt idx="2">
                  <c:v>2010</c:v>
                </c:pt>
                <c:pt idx="3">
                  <c:v>2011</c:v>
                </c:pt>
                <c:pt idx="4">
                  <c:v>2012</c:v>
                </c:pt>
                <c:pt idx="5">
                  <c:v>2013</c:v>
                </c:pt>
                <c:pt idx="6">
                  <c:v>2014</c:v>
                </c:pt>
                <c:pt idx="7">
                  <c:v>2015</c:v>
                </c:pt>
              </c:numCache>
            </c:numRef>
          </c:cat>
          <c:val>
            <c:numRef>
              <c:f>Foglio1!$D$2:$D$9</c:f>
              <c:numCache>
                <c:formatCode>#,##0</c:formatCode>
                <c:ptCount val="8"/>
                <c:pt idx="0">
                  <c:v>-60833</c:v>
                </c:pt>
                <c:pt idx="1">
                  <c:v>-66357</c:v>
                </c:pt>
                <c:pt idx="2">
                  <c:v>-65980</c:v>
                </c:pt>
                <c:pt idx="3">
                  <c:v>-59699</c:v>
                </c:pt>
                <c:pt idx="4">
                  <c:v>-81839</c:v>
                </c:pt>
                <c:pt idx="5">
                  <c:v>-4380</c:v>
                </c:pt>
                <c:pt idx="6">
                  <c:v>-35388</c:v>
                </c:pt>
                <c:pt idx="7">
                  <c:v>-20714</c:v>
                </c:pt>
              </c:numCache>
            </c:numRef>
          </c:val>
        </c:ser>
        <c:dLbls>
          <c:showLegendKey val="0"/>
          <c:showVal val="0"/>
          <c:showCatName val="0"/>
          <c:showSerName val="0"/>
          <c:showPercent val="0"/>
          <c:showBubbleSize val="0"/>
        </c:dLbls>
        <c:gapWidth val="150"/>
        <c:axId val="469002912"/>
        <c:axId val="285991424"/>
      </c:barChart>
      <c:lineChart>
        <c:grouping val="standard"/>
        <c:varyColors val="0"/>
        <c:ser>
          <c:idx val="0"/>
          <c:order val="0"/>
          <c:tx>
            <c:strRef>
              <c:f>Foglio1!$B$1</c:f>
              <c:strCache>
                <c:ptCount val="1"/>
                <c:pt idx="0">
                  <c:v>Non EU - export</c:v>
                </c:pt>
              </c:strCache>
            </c:strRef>
          </c:tx>
          <c:spPr>
            <a:ln w="28575" cap="rnd">
              <a:solidFill>
                <a:schemeClr val="accent1"/>
              </a:solidFill>
              <a:round/>
            </a:ln>
            <a:effectLst/>
          </c:spPr>
          <c:marker>
            <c:symbol val="none"/>
          </c:marker>
          <c:cat>
            <c:numRef>
              <c:f>Foglio1!$A$2:$A$9</c:f>
              <c:numCache>
                <c:formatCode>General</c:formatCode>
                <c:ptCount val="8"/>
                <c:pt idx="0">
                  <c:v>2008</c:v>
                </c:pt>
                <c:pt idx="1">
                  <c:v>2009</c:v>
                </c:pt>
                <c:pt idx="2">
                  <c:v>2010</c:v>
                </c:pt>
                <c:pt idx="3">
                  <c:v>2011</c:v>
                </c:pt>
                <c:pt idx="4">
                  <c:v>2012</c:v>
                </c:pt>
                <c:pt idx="5">
                  <c:v>2013</c:v>
                </c:pt>
                <c:pt idx="6">
                  <c:v>2014</c:v>
                </c:pt>
                <c:pt idx="7">
                  <c:v>2015</c:v>
                </c:pt>
              </c:numCache>
            </c:numRef>
          </c:cat>
          <c:val>
            <c:numRef>
              <c:f>Foglio1!$B$2:$B$9</c:f>
              <c:numCache>
                <c:formatCode>#,##0</c:formatCode>
                <c:ptCount val="8"/>
                <c:pt idx="0">
                  <c:v>115792</c:v>
                </c:pt>
                <c:pt idx="1">
                  <c:v>104031</c:v>
                </c:pt>
                <c:pt idx="2">
                  <c:v>129875</c:v>
                </c:pt>
                <c:pt idx="3">
                  <c:v>160400</c:v>
                </c:pt>
                <c:pt idx="4">
                  <c:v>153168</c:v>
                </c:pt>
                <c:pt idx="5">
                  <c:v>199812</c:v>
                </c:pt>
                <c:pt idx="6">
                  <c:v>163862</c:v>
                </c:pt>
                <c:pt idx="7">
                  <c:v>171544</c:v>
                </c:pt>
              </c:numCache>
            </c:numRef>
          </c:val>
          <c:smooth val="0"/>
        </c:ser>
        <c:ser>
          <c:idx val="1"/>
          <c:order val="1"/>
          <c:tx>
            <c:strRef>
              <c:f>Foglio1!$C$1</c:f>
              <c:strCache>
                <c:ptCount val="1"/>
                <c:pt idx="0">
                  <c:v>Non EU - import</c:v>
                </c:pt>
              </c:strCache>
            </c:strRef>
          </c:tx>
          <c:spPr>
            <a:ln w="28575" cap="rnd">
              <a:solidFill>
                <a:schemeClr val="accent2"/>
              </a:solidFill>
              <a:round/>
            </a:ln>
            <a:effectLst/>
          </c:spPr>
          <c:marker>
            <c:symbol val="none"/>
          </c:marker>
          <c:cat>
            <c:numRef>
              <c:f>Foglio1!$A$2:$A$9</c:f>
              <c:numCache>
                <c:formatCode>General</c:formatCode>
                <c:ptCount val="8"/>
                <c:pt idx="0">
                  <c:v>2008</c:v>
                </c:pt>
                <c:pt idx="1">
                  <c:v>2009</c:v>
                </c:pt>
                <c:pt idx="2">
                  <c:v>2010</c:v>
                </c:pt>
                <c:pt idx="3">
                  <c:v>2011</c:v>
                </c:pt>
                <c:pt idx="4">
                  <c:v>2012</c:v>
                </c:pt>
                <c:pt idx="5">
                  <c:v>2013</c:v>
                </c:pt>
                <c:pt idx="6">
                  <c:v>2014</c:v>
                </c:pt>
                <c:pt idx="7">
                  <c:v>2015</c:v>
                </c:pt>
              </c:numCache>
            </c:numRef>
          </c:cat>
          <c:val>
            <c:numRef>
              <c:f>Foglio1!$C$2:$C$9</c:f>
              <c:numCache>
                <c:formatCode>#,##0</c:formatCode>
                <c:ptCount val="8"/>
                <c:pt idx="0">
                  <c:v>176625</c:v>
                </c:pt>
                <c:pt idx="1">
                  <c:v>170388</c:v>
                </c:pt>
                <c:pt idx="2">
                  <c:v>195855</c:v>
                </c:pt>
                <c:pt idx="3">
                  <c:v>220099</c:v>
                </c:pt>
                <c:pt idx="4">
                  <c:v>235007</c:v>
                </c:pt>
                <c:pt idx="5">
                  <c:v>204192</c:v>
                </c:pt>
                <c:pt idx="6">
                  <c:v>199250</c:v>
                </c:pt>
                <c:pt idx="7">
                  <c:v>192258</c:v>
                </c:pt>
              </c:numCache>
            </c:numRef>
          </c:val>
          <c:smooth val="0"/>
        </c:ser>
        <c:dLbls>
          <c:showLegendKey val="0"/>
          <c:showVal val="0"/>
          <c:showCatName val="0"/>
          <c:showSerName val="0"/>
          <c:showPercent val="0"/>
          <c:showBubbleSize val="0"/>
        </c:dLbls>
        <c:marker val="1"/>
        <c:smooth val="0"/>
        <c:axId val="469002912"/>
        <c:axId val="285991424"/>
      </c:lineChart>
      <c:catAx>
        <c:axId val="469002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85991424"/>
        <c:crosses val="autoZero"/>
        <c:auto val="1"/>
        <c:lblAlgn val="ctr"/>
        <c:lblOffset val="100"/>
        <c:noMultiLvlLbl val="0"/>
      </c:catAx>
      <c:valAx>
        <c:axId val="28599142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9002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PIL inglese, variazione trimestrale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 variazione</c:v>
                </c:pt>
              </c:strCache>
            </c:strRef>
          </c:tx>
          <c:spPr>
            <a:ln w="28575" cap="rnd">
              <a:solidFill>
                <a:schemeClr val="accent1"/>
              </a:solidFill>
              <a:round/>
            </a:ln>
            <a:effectLst/>
          </c:spPr>
          <c:marker>
            <c:symbol val="none"/>
          </c:marker>
          <c:cat>
            <c:strRef>
              <c:f>Foglio1!$A$2:$A$21</c:f>
              <c:strCache>
                <c:ptCount val="20"/>
                <c:pt idx="0">
                  <c:v>2012 Q1</c:v>
                </c:pt>
                <c:pt idx="1">
                  <c:v>2012 Q2</c:v>
                </c:pt>
                <c:pt idx="2">
                  <c:v>2012 Q3</c:v>
                </c:pt>
                <c:pt idx="3">
                  <c:v>2012 Q4</c:v>
                </c:pt>
                <c:pt idx="4">
                  <c:v>2013 Q1</c:v>
                </c:pt>
                <c:pt idx="5">
                  <c:v>2013 Q2</c:v>
                </c:pt>
                <c:pt idx="6">
                  <c:v>2013 Q3</c:v>
                </c:pt>
                <c:pt idx="7">
                  <c:v>2013 Q4</c:v>
                </c:pt>
                <c:pt idx="8">
                  <c:v>2014 Q1</c:v>
                </c:pt>
                <c:pt idx="9">
                  <c:v>2014 Q2</c:v>
                </c:pt>
                <c:pt idx="10">
                  <c:v>2014 Q3</c:v>
                </c:pt>
                <c:pt idx="11">
                  <c:v>2014 Q4</c:v>
                </c:pt>
                <c:pt idx="12">
                  <c:v>2015 Q1</c:v>
                </c:pt>
                <c:pt idx="13">
                  <c:v>2015 Q2</c:v>
                </c:pt>
                <c:pt idx="14">
                  <c:v>2015 Q3</c:v>
                </c:pt>
                <c:pt idx="15">
                  <c:v>2015 Q4</c:v>
                </c:pt>
                <c:pt idx="16">
                  <c:v>2016 Q1</c:v>
                </c:pt>
                <c:pt idx="17">
                  <c:v>2016 Q2</c:v>
                </c:pt>
                <c:pt idx="18">
                  <c:v>2016 Q3</c:v>
                </c:pt>
                <c:pt idx="19">
                  <c:v>2016 Q4</c:v>
                </c:pt>
              </c:strCache>
            </c:strRef>
          </c:cat>
          <c:val>
            <c:numRef>
              <c:f>Foglio1!$B$2:$B$21</c:f>
              <c:numCache>
                <c:formatCode>0.00</c:formatCode>
                <c:ptCount val="20"/>
                <c:pt idx="0">
                  <c:v>0.4</c:v>
                </c:pt>
                <c:pt idx="1">
                  <c:v>-0.1</c:v>
                </c:pt>
                <c:pt idx="2">
                  <c:v>1.1000000000000001</c:v>
                </c:pt>
                <c:pt idx="3">
                  <c:v>-0.2</c:v>
                </c:pt>
                <c:pt idx="4">
                  <c:v>0.6</c:v>
                </c:pt>
                <c:pt idx="5">
                  <c:v>0.5</c:v>
                </c:pt>
                <c:pt idx="6">
                  <c:v>0.8</c:v>
                </c:pt>
                <c:pt idx="7">
                  <c:v>0.5</c:v>
                </c:pt>
                <c:pt idx="8">
                  <c:v>0.8</c:v>
                </c:pt>
                <c:pt idx="9">
                  <c:v>0.9</c:v>
                </c:pt>
                <c:pt idx="10">
                  <c:v>0.8</c:v>
                </c:pt>
                <c:pt idx="11">
                  <c:v>0.8</c:v>
                </c:pt>
                <c:pt idx="12">
                  <c:v>0.3</c:v>
                </c:pt>
                <c:pt idx="13">
                  <c:v>0.5</c:v>
                </c:pt>
                <c:pt idx="14">
                  <c:v>0.3</c:v>
                </c:pt>
                <c:pt idx="15">
                  <c:v>0.7</c:v>
                </c:pt>
                <c:pt idx="16">
                  <c:v>0.3</c:v>
                </c:pt>
                <c:pt idx="17">
                  <c:v>0.6</c:v>
                </c:pt>
                <c:pt idx="18">
                  <c:v>0.6</c:v>
                </c:pt>
                <c:pt idx="19">
                  <c:v>0.6</c:v>
                </c:pt>
              </c:numCache>
            </c:numRef>
          </c:val>
          <c:smooth val="0"/>
        </c:ser>
        <c:dLbls>
          <c:showLegendKey val="0"/>
          <c:showVal val="0"/>
          <c:showCatName val="0"/>
          <c:showSerName val="0"/>
          <c:showPercent val="0"/>
          <c:showBubbleSize val="0"/>
        </c:dLbls>
        <c:smooth val="0"/>
        <c:axId val="369140496"/>
        <c:axId val="369141056"/>
      </c:lineChart>
      <c:catAx>
        <c:axId val="369140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69141056"/>
        <c:crosses val="autoZero"/>
        <c:auto val="1"/>
        <c:lblAlgn val="ctr"/>
        <c:lblOffset val="100"/>
        <c:noMultiLvlLbl val="0"/>
      </c:catAx>
      <c:valAx>
        <c:axId val="3691410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69140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it-IT"/>
    </a:p>
  </c:txPr>
  <c:externalData r:id="rId3">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PIL inglese, variazione trimestrale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 variazione</c:v>
                </c:pt>
              </c:strCache>
            </c:strRef>
          </c:tx>
          <c:spPr>
            <a:ln w="28575" cap="rnd">
              <a:solidFill>
                <a:schemeClr val="accent1"/>
              </a:solidFill>
              <a:round/>
            </a:ln>
            <a:effectLst/>
          </c:spPr>
          <c:marker>
            <c:symbol val="none"/>
          </c:marker>
          <c:cat>
            <c:strRef>
              <c:f>Foglio1!$A$2:$A$21</c:f>
              <c:strCache>
                <c:ptCount val="20"/>
                <c:pt idx="0">
                  <c:v>2012 Q1</c:v>
                </c:pt>
                <c:pt idx="1">
                  <c:v>2012 Q2</c:v>
                </c:pt>
                <c:pt idx="2">
                  <c:v>2012 Q3</c:v>
                </c:pt>
                <c:pt idx="3">
                  <c:v>2012 Q4</c:v>
                </c:pt>
                <c:pt idx="4">
                  <c:v>2013 Q1</c:v>
                </c:pt>
                <c:pt idx="5">
                  <c:v>2013 Q2</c:v>
                </c:pt>
                <c:pt idx="6">
                  <c:v>2013 Q3</c:v>
                </c:pt>
                <c:pt idx="7">
                  <c:v>2013 Q4</c:v>
                </c:pt>
                <c:pt idx="8">
                  <c:v>2014 Q1</c:v>
                </c:pt>
                <c:pt idx="9">
                  <c:v>2014 Q2</c:v>
                </c:pt>
                <c:pt idx="10">
                  <c:v>2014 Q3</c:v>
                </c:pt>
                <c:pt idx="11">
                  <c:v>2014 Q4</c:v>
                </c:pt>
                <c:pt idx="12">
                  <c:v>2015 Q1</c:v>
                </c:pt>
                <c:pt idx="13">
                  <c:v>2015 Q2</c:v>
                </c:pt>
                <c:pt idx="14">
                  <c:v>2015 Q3</c:v>
                </c:pt>
                <c:pt idx="15">
                  <c:v>2015 Q4</c:v>
                </c:pt>
                <c:pt idx="16">
                  <c:v>2016 Q1</c:v>
                </c:pt>
                <c:pt idx="17">
                  <c:v>2016 Q2</c:v>
                </c:pt>
                <c:pt idx="18">
                  <c:v>2016 Q3</c:v>
                </c:pt>
                <c:pt idx="19">
                  <c:v>2016 Q4</c:v>
                </c:pt>
              </c:strCache>
            </c:strRef>
          </c:cat>
          <c:val>
            <c:numRef>
              <c:f>Foglio1!$B$2:$B$21</c:f>
              <c:numCache>
                <c:formatCode>0.00</c:formatCode>
                <c:ptCount val="20"/>
                <c:pt idx="0">
                  <c:v>0.4</c:v>
                </c:pt>
                <c:pt idx="1">
                  <c:v>-0.1</c:v>
                </c:pt>
                <c:pt idx="2">
                  <c:v>1.1000000000000001</c:v>
                </c:pt>
                <c:pt idx="3">
                  <c:v>-0.2</c:v>
                </c:pt>
                <c:pt idx="4">
                  <c:v>0.6</c:v>
                </c:pt>
                <c:pt idx="5">
                  <c:v>0.5</c:v>
                </c:pt>
                <c:pt idx="6">
                  <c:v>0.8</c:v>
                </c:pt>
                <c:pt idx="7">
                  <c:v>0.5</c:v>
                </c:pt>
                <c:pt idx="8">
                  <c:v>0.8</c:v>
                </c:pt>
                <c:pt idx="9">
                  <c:v>0.9</c:v>
                </c:pt>
                <c:pt idx="10">
                  <c:v>0.8</c:v>
                </c:pt>
                <c:pt idx="11">
                  <c:v>0.8</c:v>
                </c:pt>
                <c:pt idx="12">
                  <c:v>0.3</c:v>
                </c:pt>
                <c:pt idx="13">
                  <c:v>0.5</c:v>
                </c:pt>
                <c:pt idx="14">
                  <c:v>0.3</c:v>
                </c:pt>
                <c:pt idx="15">
                  <c:v>0.7</c:v>
                </c:pt>
                <c:pt idx="16">
                  <c:v>0.3</c:v>
                </c:pt>
                <c:pt idx="17">
                  <c:v>0.6</c:v>
                </c:pt>
                <c:pt idx="18">
                  <c:v>0.6</c:v>
                </c:pt>
                <c:pt idx="19">
                  <c:v>0.6</c:v>
                </c:pt>
              </c:numCache>
            </c:numRef>
          </c:val>
          <c:smooth val="0"/>
        </c:ser>
        <c:dLbls>
          <c:showLegendKey val="0"/>
          <c:showVal val="0"/>
          <c:showCatName val="0"/>
          <c:showSerName val="0"/>
          <c:showPercent val="0"/>
          <c:showBubbleSize val="0"/>
        </c:dLbls>
        <c:smooth val="0"/>
        <c:axId val="395341760"/>
        <c:axId val="561868160"/>
      </c:lineChart>
      <c:catAx>
        <c:axId val="39534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61868160"/>
        <c:crosses val="autoZero"/>
        <c:auto val="1"/>
        <c:lblAlgn val="ctr"/>
        <c:lblOffset val="100"/>
        <c:noMultiLvlLbl val="0"/>
      </c:catAx>
      <c:valAx>
        <c:axId val="5618681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95341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Riassunto del commercio tra</a:t>
            </a:r>
            <a:r>
              <a:rPr lang="it-IT" baseline="0"/>
              <a:t> GB e paesi extra - UE (in milioni di £)</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2"/>
          <c:order val="2"/>
          <c:tx>
            <c:strRef>
              <c:f>Foglio1!$D$1</c:f>
              <c:strCache>
                <c:ptCount val="1"/>
                <c:pt idx="0">
                  <c:v>Non EU - saldo</c:v>
                </c:pt>
              </c:strCache>
            </c:strRef>
          </c:tx>
          <c:spPr>
            <a:solidFill>
              <a:schemeClr val="accent3"/>
            </a:solidFill>
            <a:ln>
              <a:noFill/>
            </a:ln>
            <a:effectLst/>
          </c:spPr>
          <c:invertIfNegative val="0"/>
          <c:cat>
            <c:numRef>
              <c:f>Foglio1!$A$2:$A$9</c:f>
              <c:numCache>
                <c:formatCode>General</c:formatCode>
                <c:ptCount val="8"/>
                <c:pt idx="0">
                  <c:v>2008</c:v>
                </c:pt>
                <c:pt idx="1">
                  <c:v>2009</c:v>
                </c:pt>
                <c:pt idx="2">
                  <c:v>2010</c:v>
                </c:pt>
                <c:pt idx="3">
                  <c:v>2011</c:v>
                </c:pt>
                <c:pt idx="4">
                  <c:v>2012</c:v>
                </c:pt>
                <c:pt idx="5">
                  <c:v>2013</c:v>
                </c:pt>
                <c:pt idx="6">
                  <c:v>2014</c:v>
                </c:pt>
                <c:pt idx="7">
                  <c:v>2015</c:v>
                </c:pt>
              </c:numCache>
            </c:numRef>
          </c:cat>
          <c:val>
            <c:numRef>
              <c:f>Foglio1!$D$2:$D$9</c:f>
              <c:numCache>
                <c:formatCode>#,##0</c:formatCode>
                <c:ptCount val="8"/>
                <c:pt idx="0">
                  <c:v>-60833</c:v>
                </c:pt>
                <c:pt idx="1">
                  <c:v>-66357</c:v>
                </c:pt>
                <c:pt idx="2">
                  <c:v>-65980</c:v>
                </c:pt>
                <c:pt idx="3">
                  <c:v>-59699</c:v>
                </c:pt>
                <c:pt idx="4">
                  <c:v>-81839</c:v>
                </c:pt>
                <c:pt idx="5">
                  <c:v>-4380</c:v>
                </c:pt>
                <c:pt idx="6">
                  <c:v>-35388</c:v>
                </c:pt>
                <c:pt idx="7">
                  <c:v>-20714</c:v>
                </c:pt>
              </c:numCache>
            </c:numRef>
          </c:val>
        </c:ser>
        <c:dLbls>
          <c:showLegendKey val="0"/>
          <c:showVal val="0"/>
          <c:showCatName val="0"/>
          <c:showSerName val="0"/>
          <c:showPercent val="0"/>
          <c:showBubbleSize val="0"/>
        </c:dLbls>
        <c:gapWidth val="150"/>
        <c:axId val="180377776"/>
        <c:axId val="180382816"/>
      </c:barChart>
      <c:lineChart>
        <c:grouping val="standard"/>
        <c:varyColors val="0"/>
        <c:ser>
          <c:idx val="0"/>
          <c:order val="0"/>
          <c:tx>
            <c:strRef>
              <c:f>Foglio1!$B$1</c:f>
              <c:strCache>
                <c:ptCount val="1"/>
                <c:pt idx="0">
                  <c:v>Non EU - export</c:v>
                </c:pt>
              </c:strCache>
            </c:strRef>
          </c:tx>
          <c:spPr>
            <a:ln w="28575" cap="rnd">
              <a:solidFill>
                <a:schemeClr val="accent1"/>
              </a:solidFill>
              <a:round/>
            </a:ln>
            <a:effectLst/>
          </c:spPr>
          <c:marker>
            <c:symbol val="none"/>
          </c:marker>
          <c:cat>
            <c:numRef>
              <c:f>Foglio1!$A$2:$A$9</c:f>
              <c:numCache>
                <c:formatCode>General</c:formatCode>
                <c:ptCount val="8"/>
                <c:pt idx="0">
                  <c:v>2008</c:v>
                </c:pt>
                <c:pt idx="1">
                  <c:v>2009</c:v>
                </c:pt>
                <c:pt idx="2">
                  <c:v>2010</c:v>
                </c:pt>
                <c:pt idx="3">
                  <c:v>2011</c:v>
                </c:pt>
                <c:pt idx="4">
                  <c:v>2012</c:v>
                </c:pt>
                <c:pt idx="5">
                  <c:v>2013</c:v>
                </c:pt>
                <c:pt idx="6">
                  <c:v>2014</c:v>
                </c:pt>
                <c:pt idx="7">
                  <c:v>2015</c:v>
                </c:pt>
              </c:numCache>
            </c:numRef>
          </c:cat>
          <c:val>
            <c:numRef>
              <c:f>Foglio1!$B$2:$B$9</c:f>
              <c:numCache>
                <c:formatCode>#,##0</c:formatCode>
                <c:ptCount val="8"/>
                <c:pt idx="0">
                  <c:v>115792</c:v>
                </c:pt>
                <c:pt idx="1">
                  <c:v>104031</c:v>
                </c:pt>
                <c:pt idx="2">
                  <c:v>129875</c:v>
                </c:pt>
                <c:pt idx="3">
                  <c:v>160400</c:v>
                </c:pt>
                <c:pt idx="4">
                  <c:v>153168</c:v>
                </c:pt>
                <c:pt idx="5">
                  <c:v>199812</c:v>
                </c:pt>
                <c:pt idx="6">
                  <c:v>163862</c:v>
                </c:pt>
                <c:pt idx="7">
                  <c:v>171544</c:v>
                </c:pt>
              </c:numCache>
            </c:numRef>
          </c:val>
          <c:smooth val="0"/>
        </c:ser>
        <c:ser>
          <c:idx val="1"/>
          <c:order val="1"/>
          <c:tx>
            <c:strRef>
              <c:f>Foglio1!$C$1</c:f>
              <c:strCache>
                <c:ptCount val="1"/>
                <c:pt idx="0">
                  <c:v>Non EU - import</c:v>
                </c:pt>
              </c:strCache>
            </c:strRef>
          </c:tx>
          <c:spPr>
            <a:ln w="28575" cap="rnd">
              <a:solidFill>
                <a:schemeClr val="accent2"/>
              </a:solidFill>
              <a:round/>
            </a:ln>
            <a:effectLst/>
          </c:spPr>
          <c:marker>
            <c:symbol val="none"/>
          </c:marker>
          <c:cat>
            <c:numRef>
              <c:f>Foglio1!$A$2:$A$9</c:f>
              <c:numCache>
                <c:formatCode>General</c:formatCode>
                <c:ptCount val="8"/>
                <c:pt idx="0">
                  <c:v>2008</c:v>
                </c:pt>
                <c:pt idx="1">
                  <c:v>2009</c:v>
                </c:pt>
                <c:pt idx="2">
                  <c:v>2010</c:v>
                </c:pt>
                <c:pt idx="3">
                  <c:v>2011</c:v>
                </c:pt>
                <c:pt idx="4">
                  <c:v>2012</c:v>
                </c:pt>
                <c:pt idx="5">
                  <c:v>2013</c:v>
                </c:pt>
                <c:pt idx="6">
                  <c:v>2014</c:v>
                </c:pt>
                <c:pt idx="7">
                  <c:v>2015</c:v>
                </c:pt>
              </c:numCache>
            </c:numRef>
          </c:cat>
          <c:val>
            <c:numRef>
              <c:f>Foglio1!$C$2:$C$9</c:f>
              <c:numCache>
                <c:formatCode>#,##0</c:formatCode>
                <c:ptCount val="8"/>
                <c:pt idx="0">
                  <c:v>176625</c:v>
                </c:pt>
                <c:pt idx="1">
                  <c:v>170388</c:v>
                </c:pt>
                <c:pt idx="2">
                  <c:v>195855</c:v>
                </c:pt>
                <c:pt idx="3">
                  <c:v>220099</c:v>
                </c:pt>
                <c:pt idx="4">
                  <c:v>235007</c:v>
                </c:pt>
                <c:pt idx="5">
                  <c:v>204192</c:v>
                </c:pt>
                <c:pt idx="6">
                  <c:v>199250</c:v>
                </c:pt>
                <c:pt idx="7">
                  <c:v>192258</c:v>
                </c:pt>
              </c:numCache>
            </c:numRef>
          </c:val>
          <c:smooth val="0"/>
        </c:ser>
        <c:dLbls>
          <c:showLegendKey val="0"/>
          <c:showVal val="0"/>
          <c:showCatName val="0"/>
          <c:showSerName val="0"/>
          <c:showPercent val="0"/>
          <c:showBubbleSize val="0"/>
        </c:dLbls>
        <c:marker val="1"/>
        <c:smooth val="0"/>
        <c:axId val="180377776"/>
        <c:axId val="180382816"/>
      </c:lineChart>
      <c:catAx>
        <c:axId val="180377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0382816"/>
        <c:crosses val="autoZero"/>
        <c:auto val="1"/>
        <c:lblAlgn val="ctr"/>
        <c:lblOffset val="100"/>
        <c:noMultiLvlLbl val="0"/>
      </c:catAx>
      <c:valAx>
        <c:axId val="1803828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0377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Riassunto del commercio tra</a:t>
            </a:r>
            <a:r>
              <a:rPr lang="it-IT" baseline="0"/>
              <a:t> GB e UE (in milioni di £)</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2"/>
          <c:order val="2"/>
          <c:tx>
            <c:strRef>
              <c:f>Foglio1!$D$1</c:f>
              <c:strCache>
                <c:ptCount val="1"/>
                <c:pt idx="0">
                  <c:v>EU - saldo</c:v>
                </c:pt>
              </c:strCache>
            </c:strRef>
          </c:tx>
          <c:spPr>
            <a:solidFill>
              <a:schemeClr val="accent3"/>
            </a:solidFill>
            <a:ln>
              <a:noFill/>
            </a:ln>
            <a:effectLst/>
          </c:spPr>
          <c:invertIfNegative val="0"/>
          <c:cat>
            <c:numRef>
              <c:f>Foglio1!$A$2:$A$9</c:f>
              <c:numCache>
                <c:formatCode>General</c:formatCode>
                <c:ptCount val="8"/>
                <c:pt idx="0">
                  <c:v>2008</c:v>
                </c:pt>
                <c:pt idx="1">
                  <c:v>2009</c:v>
                </c:pt>
                <c:pt idx="2">
                  <c:v>2010</c:v>
                </c:pt>
                <c:pt idx="3">
                  <c:v>2011</c:v>
                </c:pt>
                <c:pt idx="4">
                  <c:v>2012</c:v>
                </c:pt>
                <c:pt idx="5">
                  <c:v>2013</c:v>
                </c:pt>
                <c:pt idx="6">
                  <c:v>2014</c:v>
                </c:pt>
                <c:pt idx="7">
                  <c:v>2015</c:v>
                </c:pt>
              </c:numCache>
            </c:numRef>
          </c:cat>
          <c:val>
            <c:numRef>
              <c:f>Foglio1!$D$2:$D$9</c:f>
              <c:numCache>
                <c:formatCode>#,##0</c:formatCode>
                <c:ptCount val="8"/>
                <c:pt idx="0">
                  <c:v>-37790</c:v>
                </c:pt>
                <c:pt idx="1">
                  <c:v>-36985</c:v>
                </c:pt>
                <c:pt idx="2">
                  <c:v>-42795</c:v>
                </c:pt>
                <c:pt idx="3">
                  <c:v>-43306</c:v>
                </c:pt>
                <c:pt idx="4">
                  <c:v>-56928</c:v>
                </c:pt>
                <c:pt idx="5">
                  <c:v>-66678</c:v>
                </c:pt>
                <c:pt idx="6">
                  <c:v>-74694</c:v>
                </c:pt>
                <c:pt idx="7">
                  <c:v>-85302</c:v>
                </c:pt>
              </c:numCache>
            </c:numRef>
          </c:val>
        </c:ser>
        <c:dLbls>
          <c:showLegendKey val="0"/>
          <c:showVal val="0"/>
          <c:showCatName val="0"/>
          <c:showSerName val="0"/>
          <c:showPercent val="0"/>
          <c:showBubbleSize val="0"/>
        </c:dLbls>
        <c:gapWidth val="150"/>
        <c:axId val="293272896"/>
        <c:axId val="361877616"/>
      </c:barChart>
      <c:lineChart>
        <c:grouping val="standard"/>
        <c:varyColors val="0"/>
        <c:ser>
          <c:idx val="0"/>
          <c:order val="0"/>
          <c:tx>
            <c:strRef>
              <c:f>Foglio1!$B$1</c:f>
              <c:strCache>
                <c:ptCount val="1"/>
                <c:pt idx="0">
                  <c:v>EU - export</c:v>
                </c:pt>
              </c:strCache>
            </c:strRef>
          </c:tx>
          <c:spPr>
            <a:ln w="28575" cap="rnd">
              <a:solidFill>
                <a:schemeClr val="accent1"/>
              </a:solidFill>
              <a:round/>
            </a:ln>
            <a:effectLst/>
          </c:spPr>
          <c:marker>
            <c:symbol val="none"/>
          </c:marker>
          <c:cat>
            <c:numRef>
              <c:f>Foglio1!$A$2:$A$9</c:f>
              <c:numCache>
                <c:formatCode>General</c:formatCode>
                <c:ptCount val="8"/>
                <c:pt idx="0">
                  <c:v>2008</c:v>
                </c:pt>
                <c:pt idx="1">
                  <c:v>2009</c:v>
                </c:pt>
                <c:pt idx="2">
                  <c:v>2010</c:v>
                </c:pt>
                <c:pt idx="3">
                  <c:v>2011</c:v>
                </c:pt>
                <c:pt idx="4">
                  <c:v>2012</c:v>
                </c:pt>
                <c:pt idx="5">
                  <c:v>2013</c:v>
                </c:pt>
                <c:pt idx="6">
                  <c:v>2014</c:v>
                </c:pt>
                <c:pt idx="7">
                  <c:v>2015</c:v>
                </c:pt>
              </c:numCache>
            </c:numRef>
          </c:cat>
          <c:val>
            <c:numRef>
              <c:f>Foglio1!$B$2:$B$9</c:f>
              <c:numCache>
                <c:formatCode>#,##0</c:formatCode>
                <c:ptCount val="8"/>
                <c:pt idx="0">
                  <c:v>141068</c:v>
                </c:pt>
                <c:pt idx="1">
                  <c:v>124649</c:v>
                </c:pt>
                <c:pt idx="2">
                  <c:v>141931</c:v>
                </c:pt>
                <c:pt idx="3">
                  <c:v>158293</c:v>
                </c:pt>
                <c:pt idx="4">
                  <c:v>149986</c:v>
                </c:pt>
                <c:pt idx="5">
                  <c:v>150423</c:v>
                </c:pt>
                <c:pt idx="6">
                  <c:v>146666</c:v>
                </c:pt>
                <c:pt idx="7">
                  <c:v>133365</c:v>
                </c:pt>
              </c:numCache>
            </c:numRef>
          </c:val>
          <c:smooth val="0"/>
        </c:ser>
        <c:ser>
          <c:idx val="1"/>
          <c:order val="1"/>
          <c:tx>
            <c:strRef>
              <c:f>Foglio1!$C$1</c:f>
              <c:strCache>
                <c:ptCount val="1"/>
                <c:pt idx="0">
                  <c:v>EU - import</c:v>
                </c:pt>
              </c:strCache>
            </c:strRef>
          </c:tx>
          <c:spPr>
            <a:ln w="28575" cap="rnd">
              <a:solidFill>
                <a:schemeClr val="accent2"/>
              </a:solidFill>
              <a:round/>
            </a:ln>
            <a:effectLst/>
          </c:spPr>
          <c:marker>
            <c:symbol val="none"/>
          </c:marker>
          <c:cat>
            <c:numRef>
              <c:f>Foglio1!$A$2:$A$9</c:f>
              <c:numCache>
                <c:formatCode>General</c:formatCode>
                <c:ptCount val="8"/>
                <c:pt idx="0">
                  <c:v>2008</c:v>
                </c:pt>
                <c:pt idx="1">
                  <c:v>2009</c:v>
                </c:pt>
                <c:pt idx="2">
                  <c:v>2010</c:v>
                </c:pt>
                <c:pt idx="3">
                  <c:v>2011</c:v>
                </c:pt>
                <c:pt idx="4">
                  <c:v>2012</c:v>
                </c:pt>
                <c:pt idx="5">
                  <c:v>2013</c:v>
                </c:pt>
                <c:pt idx="6">
                  <c:v>2014</c:v>
                </c:pt>
                <c:pt idx="7">
                  <c:v>2015</c:v>
                </c:pt>
              </c:numCache>
            </c:numRef>
          </c:cat>
          <c:val>
            <c:numRef>
              <c:f>Foglio1!$C$2:$C$9</c:f>
              <c:numCache>
                <c:formatCode>#,##0</c:formatCode>
                <c:ptCount val="8"/>
                <c:pt idx="0">
                  <c:v>178858</c:v>
                </c:pt>
                <c:pt idx="1">
                  <c:v>161634</c:v>
                </c:pt>
                <c:pt idx="2">
                  <c:v>184726</c:v>
                </c:pt>
                <c:pt idx="3">
                  <c:v>201599</c:v>
                </c:pt>
                <c:pt idx="4">
                  <c:v>206914</c:v>
                </c:pt>
                <c:pt idx="5">
                  <c:v>217101</c:v>
                </c:pt>
                <c:pt idx="6">
                  <c:v>221360</c:v>
                </c:pt>
                <c:pt idx="7">
                  <c:v>218667</c:v>
                </c:pt>
              </c:numCache>
            </c:numRef>
          </c:val>
          <c:smooth val="0"/>
        </c:ser>
        <c:dLbls>
          <c:showLegendKey val="0"/>
          <c:showVal val="0"/>
          <c:showCatName val="0"/>
          <c:showSerName val="0"/>
          <c:showPercent val="0"/>
          <c:showBubbleSize val="0"/>
        </c:dLbls>
        <c:marker val="1"/>
        <c:smooth val="0"/>
        <c:axId val="293272896"/>
        <c:axId val="361877616"/>
      </c:lineChart>
      <c:catAx>
        <c:axId val="293272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61877616"/>
        <c:crosses val="autoZero"/>
        <c:auto val="1"/>
        <c:lblAlgn val="ctr"/>
        <c:lblOffset val="100"/>
        <c:noMultiLvlLbl val="0"/>
      </c:catAx>
      <c:valAx>
        <c:axId val="3618776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93272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Riassunto del commercio tra</a:t>
            </a:r>
            <a:r>
              <a:rPr lang="it-IT" baseline="0"/>
              <a:t> GB e UE (in milioni di £)</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2"/>
          <c:order val="2"/>
          <c:tx>
            <c:strRef>
              <c:f>Foglio1!$D$1</c:f>
              <c:strCache>
                <c:ptCount val="1"/>
                <c:pt idx="0">
                  <c:v>EU - saldo</c:v>
                </c:pt>
              </c:strCache>
            </c:strRef>
          </c:tx>
          <c:spPr>
            <a:solidFill>
              <a:schemeClr val="accent3"/>
            </a:solidFill>
            <a:ln>
              <a:noFill/>
            </a:ln>
            <a:effectLst/>
          </c:spPr>
          <c:invertIfNegative val="0"/>
          <c:cat>
            <c:numRef>
              <c:f>Foglio1!$A$2:$A$9</c:f>
              <c:numCache>
                <c:formatCode>General</c:formatCode>
                <c:ptCount val="8"/>
                <c:pt idx="0">
                  <c:v>2008</c:v>
                </c:pt>
                <c:pt idx="1">
                  <c:v>2009</c:v>
                </c:pt>
                <c:pt idx="2">
                  <c:v>2010</c:v>
                </c:pt>
                <c:pt idx="3">
                  <c:v>2011</c:v>
                </c:pt>
                <c:pt idx="4">
                  <c:v>2012</c:v>
                </c:pt>
                <c:pt idx="5">
                  <c:v>2013</c:v>
                </c:pt>
                <c:pt idx="6">
                  <c:v>2014</c:v>
                </c:pt>
                <c:pt idx="7">
                  <c:v>2015</c:v>
                </c:pt>
              </c:numCache>
            </c:numRef>
          </c:cat>
          <c:val>
            <c:numRef>
              <c:f>Foglio1!$D$2:$D$9</c:f>
              <c:numCache>
                <c:formatCode>#,##0</c:formatCode>
                <c:ptCount val="8"/>
                <c:pt idx="0">
                  <c:v>-37790</c:v>
                </c:pt>
                <c:pt idx="1">
                  <c:v>-36985</c:v>
                </c:pt>
                <c:pt idx="2">
                  <c:v>-42795</c:v>
                </c:pt>
                <c:pt idx="3">
                  <c:v>-43306</c:v>
                </c:pt>
                <c:pt idx="4">
                  <c:v>-56928</c:v>
                </c:pt>
                <c:pt idx="5">
                  <c:v>-66678</c:v>
                </c:pt>
                <c:pt idx="6">
                  <c:v>-74694</c:v>
                </c:pt>
                <c:pt idx="7">
                  <c:v>-85302</c:v>
                </c:pt>
              </c:numCache>
            </c:numRef>
          </c:val>
        </c:ser>
        <c:dLbls>
          <c:showLegendKey val="0"/>
          <c:showVal val="0"/>
          <c:showCatName val="0"/>
          <c:showSerName val="0"/>
          <c:showPercent val="0"/>
          <c:showBubbleSize val="0"/>
        </c:dLbls>
        <c:gapWidth val="150"/>
        <c:axId val="480557648"/>
        <c:axId val="480558208"/>
      </c:barChart>
      <c:lineChart>
        <c:grouping val="standard"/>
        <c:varyColors val="0"/>
        <c:ser>
          <c:idx val="0"/>
          <c:order val="0"/>
          <c:tx>
            <c:strRef>
              <c:f>Foglio1!$B$1</c:f>
              <c:strCache>
                <c:ptCount val="1"/>
                <c:pt idx="0">
                  <c:v>EU - export</c:v>
                </c:pt>
              </c:strCache>
            </c:strRef>
          </c:tx>
          <c:spPr>
            <a:ln w="28575" cap="rnd">
              <a:solidFill>
                <a:schemeClr val="accent1"/>
              </a:solidFill>
              <a:round/>
            </a:ln>
            <a:effectLst/>
          </c:spPr>
          <c:marker>
            <c:symbol val="none"/>
          </c:marker>
          <c:cat>
            <c:numRef>
              <c:f>Foglio1!$A$2:$A$9</c:f>
              <c:numCache>
                <c:formatCode>General</c:formatCode>
                <c:ptCount val="8"/>
                <c:pt idx="0">
                  <c:v>2008</c:v>
                </c:pt>
                <c:pt idx="1">
                  <c:v>2009</c:v>
                </c:pt>
                <c:pt idx="2">
                  <c:v>2010</c:v>
                </c:pt>
                <c:pt idx="3">
                  <c:v>2011</c:v>
                </c:pt>
                <c:pt idx="4">
                  <c:v>2012</c:v>
                </c:pt>
                <c:pt idx="5">
                  <c:v>2013</c:v>
                </c:pt>
                <c:pt idx="6">
                  <c:v>2014</c:v>
                </c:pt>
                <c:pt idx="7">
                  <c:v>2015</c:v>
                </c:pt>
              </c:numCache>
            </c:numRef>
          </c:cat>
          <c:val>
            <c:numRef>
              <c:f>Foglio1!$B$2:$B$9</c:f>
              <c:numCache>
                <c:formatCode>#,##0</c:formatCode>
                <c:ptCount val="8"/>
                <c:pt idx="0">
                  <c:v>141068</c:v>
                </c:pt>
                <c:pt idx="1">
                  <c:v>124649</c:v>
                </c:pt>
                <c:pt idx="2">
                  <c:v>141931</c:v>
                </c:pt>
                <c:pt idx="3">
                  <c:v>158293</c:v>
                </c:pt>
                <c:pt idx="4">
                  <c:v>149986</c:v>
                </c:pt>
                <c:pt idx="5">
                  <c:v>150423</c:v>
                </c:pt>
                <c:pt idx="6">
                  <c:v>146666</c:v>
                </c:pt>
                <c:pt idx="7">
                  <c:v>133365</c:v>
                </c:pt>
              </c:numCache>
            </c:numRef>
          </c:val>
          <c:smooth val="0"/>
        </c:ser>
        <c:ser>
          <c:idx val="1"/>
          <c:order val="1"/>
          <c:tx>
            <c:strRef>
              <c:f>Foglio1!$C$1</c:f>
              <c:strCache>
                <c:ptCount val="1"/>
                <c:pt idx="0">
                  <c:v>EU - import</c:v>
                </c:pt>
              </c:strCache>
            </c:strRef>
          </c:tx>
          <c:spPr>
            <a:ln w="28575" cap="rnd">
              <a:solidFill>
                <a:schemeClr val="accent2"/>
              </a:solidFill>
              <a:round/>
            </a:ln>
            <a:effectLst/>
          </c:spPr>
          <c:marker>
            <c:symbol val="none"/>
          </c:marker>
          <c:cat>
            <c:numRef>
              <c:f>Foglio1!$A$2:$A$9</c:f>
              <c:numCache>
                <c:formatCode>General</c:formatCode>
                <c:ptCount val="8"/>
                <c:pt idx="0">
                  <c:v>2008</c:v>
                </c:pt>
                <c:pt idx="1">
                  <c:v>2009</c:v>
                </c:pt>
                <c:pt idx="2">
                  <c:v>2010</c:v>
                </c:pt>
                <c:pt idx="3">
                  <c:v>2011</c:v>
                </c:pt>
                <c:pt idx="4">
                  <c:v>2012</c:v>
                </c:pt>
                <c:pt idx="5">
                  <c:v>2013</c:v>
                </c:pt>
                <c:pt idx="6">
                  <c:v>2014</c:v>
                </c:pt>
                <c:pt idx="7">
                  <c:v>2015</c:v>
                </c:pt>
              </c:numCache>
            </c:numRef>
          </c:cat>
          <c:val>
            <c:numRef>
              <c:f>Foglio1!$C$2:$C$9</c:f>
              <c:numCache>
                <c:formatCode>#,##0</c:formatCode>
                <c:ptCount val="8"/>
                <c:pt idx="0">
                  <c:v>178858</c:v>
                </c:pt>
                <c:pt idx="1">
                  <c:v>161634</c:v>
                </c:pt>
                <c:pt idx="2">
                  <c:v>184726</c:v>
                </c:pt>
                <c:pt idx="3">
                  <c:v>201599</c:v>
                </c:pt>
                <c:pt idx="4">
                  <c:v>206914</c:v>
                </c:pt>
                <c:pt idx="5">
                  <c:v>217101</c:v>
                </c:pt>
                <c:pt idx="6">
                  <c:v>221360</c:v>
                </c:pt>
                <c:pt idx="7">
                  <c:v>218667</c:v>
                </c:pt>
              </c:numCache>
            </c:numRef>
          </c:val>
          <c:smooth val="0"/>
        </c:ser>
        <c:dLbls>
          <c:showLegendKey val="0"/>
          <c:showVal val="0"/>
          <c:showCatName val="0"/>
          <c:showSerName val="0"/>
          <c:showPercent val="0"/>
          <c:showBubbleSize val="0"/>
        </c:dLbls>
        <c:marker val="1"/>
        <c:smooth val="0"/>
        <c:axId val="480557648"/>
        <c:axId val="480558208"/>
      </c:lineChart>
      <c:catAx>
        <c:axId val="480557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80558208"/>
        <c:crosses val="autoZero"/>
        <c:auto val="1"/>
        <c:lblAlgn val="ctr"/>
        <c:lblOffset val="100"/>
        <c:noMultiLvlLbl val="0"/>
      </c:catAx>
      <c:valAx>
        <c:axId val="4805582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8055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all" baseline="0">
                <a:solidFill>
                  <a:schemeClr val="tx1">
                    <a:lumMod val="65000"/>
                    <a:lumOff val="35000"/>
                  </a:schemeClr>
                </a:solidFill>
                <a:latin typeface="+mn-lt"/>
                <a:ea typeface="+mn-ea"/>
                <a:cs typeface="+mn-cs"/>
              </a:defRPr>
            </a:pPr>
            <a:r>
              <a:rPr lang="en-US" sz="1100"/>
              <a:t>Top 10 prodotti - Export</a:t>
            </a:r>
            <a:r>
              <a:rPr lang="en-US" sz="1100" baseline="0"/>
              <a:t> </a:t>
            </a:r>
            <a:r>
              <a:rPr lang="en-US" sz="1100"/>
              <a:t>(in migliaia di £) </a:t>
            </a:r>
            <a:r>
              <a:rPr lang="en-US" sz="1100" b="1" i="0" u="none" strike="noStrike" cap="all" baseline="0">
                <a:effectLst/>
              </a:rPr>
              <a:t>(totali ad ottobre 2016)</a:t>
            </a:r>
          </a:p>
          <a:p>
            <a:pPr>
              <a:defRPr sz="1100"/>
            </a:pPr>
            <a:endParaRPr lang="en-US" sz="1100"/>
          </a:p>
        </c:rich>
      </c:tx>
      <c:overlay val="0"/>
      <c:spPr>
        <a:noFill/>
        <a:ln>
          <a:noFill/>
        </a:ln>
        <a:effectLst/>
      </c:spPr>
      <c:txPr>
        <a:bodyPr rot="0" spcFirstLastPara="1" vertOverflow="ellipsis" vert="horz" wrap="square" anchor="ctr" anchorCtr="1"/>
        <a:lstStyle/>
        <a:p>
          <a:pPr>
            <a:defRPr sz="1100" b="1" i="0" u="none" strike="noStrike" kern="1200" cap="all"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Top 10 prodotti - export (in migliaia di £)</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it-IT"/>
                </a:p>
              </c:txPr>
              <c:dLblPos val="outEnd"/>
              <c:showLegendKey val="0"/>
              <c:showVal val="0"/>
              <c:showCatName val="1"/>
              <c:showSerName val="0"/>
              <c:showPercent val="1"/>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it-IT"/>
                </a:p>
              </c:txPr>
              <c:dLblPos val="outEnd"/>
              <c:showLegendKey val="0"/>
              <c:showVal val="0"/>
              <c:showCatName val="1"/>
              <c:showSerName val="0"/>
              <c:showPercent val="1"/>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it-IT"/>
                </a:p>
              </c:txPr>
              <c:dLblPos val="outEnd"/>
              <c:showLegendKey val="0"/>
              <c:showVal val="0"/>
              <c:showCatName val="1"/>
              <c:showSerName val="0"/>
              <c:showPercent val="1"/>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it-IT"/>
                </a:p>
              </c:txPr>
              <c:dLblPos val="outEnd"/>
              <c:showLegendKey val="0"/>
              <c:showVal val="0"/>
              <c:showCatName val="1"/>
              <c:showSerName val="0"/>
              <c:showPercent val="1"/>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it-IT"/>
                </a:p>
              </c:txPr>
              <c:dLblPos val="outEnd"/>
              <c:showLegendKey val="0"/>
              <c:showVal val="0"/>
              <c:showCatName val="1"/>
              <c:showSerName val="0"/>
              <c:showPercent val="1"/>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it-IT"/>
                </a:p>
              </c:txPr>
              <c:dLblPos val="outEnd"/>
              <c:showLegendKey val="0"/>
              <c:showVal val="0"/>
              <c:showCatName val="1"/>
              <c:showSerName val="0"/>
              <c:showPercent val="1"/>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it-IT"/>
                </a:p>
              </c:txPr>
              <c:dLblPos val="outEnd"/>
              <c:showLegendKey val="0"/>
              <c:showVal val="0"/>
              <c:showCatName val="1"/>
              <c:showSerName val="0"/>
              <c:showPercent val="1"/>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it-IT"/>
                </a:p>
              </c:txPr>
              <c:dLblPos val="outEnd"/>
              <c:showLegendKey val="0"/>
              <c:showVal val="0"/>
              <c:showCatName val="1"/>
              <c:showSerName val="0"/>
              <c:showPercent val="1"/>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it-IT"/>
                </a:p>
              </c:txPr>
              <c:dLblPos val="outEnd"/>
              <c:showLegendKey val="0"/>
              <c:showVal val="0"/>
              <c:showCatName val="1"/>
              <c:showSerName val="0"/>
              <c:showPercent val="1"/>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it-IT"/>
                </a:p>
              </c:txPr>
              <c:dLblPos val="outEnd"/>
              <c:showLegendKey val="0"/>
              <c:showVal val="0"/>
              <c:showCatName val="1"/>
              <c:showSerName val="0"/>
              <c:showPercent val="1"/>
              <c:showBubbleSize val="0"/>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Foglio1!$A$2:$A$11</c:f>
              <c:strCache>
                <c:ptCount val="10"/>
                <c:pt idx="0">
                  <c:v>Vehicles</c:v>
                </c:pt>
                <c:pt idx="1">
                  <c:v>Nuclear reactors</c:v>
                </c:pt>
                <c:pt idx="2">
                  <c:v>Mineral fuels</c:v>
                </c:pt>
                <c:pt idx="3">
                  <c:v>Pharmaceutical products</c:v>
                </c:pt>
                <c:pt idx="4">
                  <c:v>Electrical machinery</c:v>
                </c:pt>
                <c:pt idx="5">
                  <c:v>Aircraft, spacecraft, and parts thereof</c:v>
                </c:pt>
                <c:pt idx="6">
                  <c:v>Plastics</c:v>
                </c:pt>
                <c:pt idx="7">
                  <c:v>Optical</c:v>
                </c:pt>
                <c:pt idx="8">
                  <c:v>Organic chemicals</c:v>
                </c:pt>
                <c:pt idx="9">
                  <c:v>Precious stones and metals</c:v>
                </c:pt>
              </c:strCache>
            </c:strRef>
          </c:cat>
          <c:val>
            <c:numRef>
              <c:f>Foglio1!$B$2:$B$11</c:f>
              <c:numCache>
                <c:formatCode>#,##0</c:formatCode>
                <c:ptCount val="10"/>
                <c:pt idx="0">
                  <c:v>14675800.408</c:v>
                </c:pt>
                <c:pt idx="1">
                  <c:v>13435632.572000001</c:v>
                </c:pt>
                <c:pt idx="2">
                  <c:v>10793093.32</c:v>
                </c:pt>
                <c:pt idx="3">
                  <c:v>9399800.1319999993</c:v>
                </c:pt>
                <c:pt idx="4">
                  <c:v>8171919.324</c:v>
                </c:pt>
                <c:pt idx="5">
                  <c:v>6000702.3260000004</c:v>
                </c:pt>
                <c:pt idx="6">
                  <c:v>4703753.5039999997</c:v>
                </c:pt>
                <c:pt idx="7">
                  <c:v>4178426.8969999999</c:v>
                </c:pt>
                <c:pt idx="8">
                  <c:v>3312661.6430000002</c:v>
                </c:pt>
                <c:pt idx="9">
                  <c:v>2274301.4130000002</c:v>
                </c:pt>
              </c:numCache>
            </c:numRef>
          </c:val>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all" baseline="0">
                <a:solidFill>
                  <a:schemeClr val="tx1">
                    <a:lumMod val="65000"/>
                    <a:lumOff val="35000"/>
                  </a:schemeClr>
                </a:solidFill>
                <a:latin typeface="+mn-lt"/>
                <a:ea typeface="+mn-ea"/>
                <a:cs typeface="+mn-cs"/>
              </a:defRPr>
            </a:pPr>
            <a:r>
              <a:rPr lang="en-US" sz="1100"/>
              <a:t>Top 10 prodotti - Export</a:t>
            </a:r>
            <a:r>
              <a:rPr lang="en-US" sz="1100" baseline="0"/>
              <a:t> </a:t>
            </a:r>
            <a:r>
              <a:rPr lang="en-US" sz="1100"/>
              <a:t>(in migliaia di £) </a:t>
            </a:r>
            <a:r>
              <a:rPr lang="en-US" sz="1100" b="1" i="0" u="none" strike="noStrike" cap="all" baseline="0">
                <a:effectLst/>
              </a:rPr>
              <a:t>(totali ad ottobre 2016)</a:t>
            </a:r>
          </a:p>
          <a:p>
            <a:pPr>
              <a:defRPr sz="1100"/>
            </a:pPr>
            <a:endParaRPr lang="en-US" sz="1100"/>
          </a:p>
        </c:rich>
      </c:tx>
      <c:overlay val="0"/>
      <c:spPr>
        <a:noFill/>
        <a:ln>
          <a:noFill/>
        </a:ln>
        <a:effectLst/>
      </c:spPr>
      <c:txPr>
        <a:bodyPr rot="0" spcFirstLastPara="1" vertOverflow="ellipsis" vert="horz" wrap="square" anchor="ctr" anchorCtr="1"/>
        <a:lstStyle/>
        <a:p>
          <a:pPr>
            <a:defRPr sz="1100" b="1" i="0" u="none" strike="noStrike" kern="1200" cap="all"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Top 10 prodotti - export (in migliaia di £)</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it-IT"/>
                </a:p>
              </c:txPr>
              <c:dLblPos val="outEnd"/>
              <c:showLegendKey val="0"/>
              <c:showVal val="0"/>
              <c:showCatName val="1"/>
              <c:showSerName val="0"/>
              <c:showPercent val="1"/>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it-IT"/>
                </a:p>
              </c:txPr>
              <c:dLblPos val="outEnd"/>
              <c:showLegendKey val="0"/>
              <c:showVal val="0"/>
              <c:showCatName val="1"/>
              <c:showSerName val="0"/>
              <c:showPercent val="1"/>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it-IT"/>
                </a:p>
              </c:txPr>
              <c:dLblPos val="outEnd"/>
              <c:showLegendKey val="0"/>
              <c:showVal val="0"/>
              <c:showCatName val="1"/>
              <c:showSerName val="0"/>
              <c:showPercent val="1"/>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it-IT"/>
                </a:p>
              </c:txPr>
              <c:dLblPos val="outEnd"/>
              <c:showLegendKey val="0"/>
              <c:showVal val="0"/>
              <c:showCatName val="1"/>
              <c:showSerName val="0"/>
              <c:showPercent val="1"/>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it-IT"/>
                </a:p>
              </c:txPr>
              <c:dLblPos val="outEnd"/>
              <c:showLegendKey val="0"/>
              <c:showVal val="0"/>
              <c:showCatName val="1"/>
              <c:showSerName val="0"/>
              <c:showPercent val="1"/>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it-IT"/>
                </a:p>
              </c:txPr>
              <c:dLblPos val="outEnd"/>
              <c:showLegendKey val="0"/>
              <c:showVal val="0"/>
              <c:showCatName val="1"/>
              <c:showSerName val="0"/>
              <c:showPercent val="1"/>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it-IT"/>
                </a:p>
              </c:txPr>
              <c:dLblPos val="outEnd"/>
              <c:showLegendKey val="0"/>
              <c:showVal val="0"/>
              <c:showCatName val="1"/>
              <c:showSerName val="0"/>
              <c:showPercent val="1"/>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it-IT"/>
                </a:p>
              </c:txPr>
              <c:dLblPos val="outEnd"/>
              <c:showLegendKey val="0"/>
              <c:showVal val="0"/>
              <c:showCatName val="1"/>
              <c:showSerName val="0"/>
              <c:showPercent val="1"/>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it-IT"/>
                </a:p>
              </c:txPr>
              <c:dLblPos val="outEnd"/>
              <c:showLegendKey val="0"/>
              <c:showVal val="0"/>
              <c:showCatName val="1"/>
              <c:showSerName val="0"/>
              <c:showPercent val="1"/>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it-IT"/>
                </a:p>
              </c:txPr>
              <c:dLblPos val="outEnd"/>
              <c:showLegendKey val="0"/>
              <c:showVal val="0"/>
              <c:showCatName val="1"/>
              <c:showSerName val="0"/>
              <c:showPercent val="1"/>
              <c:showBubbleSize val="0"/>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Foglio1!$A$2:$A$11</c:f>
              <c:strCache>
                <c:ptCount val="10"/>
                <c:pt idx="0">
                  <c:v>Vehicles</c:v>
                </c:pt>
                <c:pt idx="1">
                  <c:v>Nuclear reactors</c:v>
                </c:pt>
                <c:pt idx="2">
                  <c:v>Mineral fuels</c:v>
                </c:pt>
                <c:pt idx="3">
                  <c:v>Pharmaceutical products</c:v>
                </c:pt>
                <c:pt idx="4">
                  <c:v>Electrical machinery</c:v>
                </c:pt>
                <c:pt idx="5">
                  <c:v>Aircraft, spacecraft, and parts thereof</c:v>
                </c:pt>
                <c:pt idx="6">
                  <c:v>Plastics</c:v>
                </c:pt>
                <c:pt idx="7">
                  <c:v>Optical</c:v>
                </c:pt>
                <c:pt idx="8">
                  <c:v>Organic chemicals</c:v>
                </c:pt>
                <c:pt idx="9">
                  <c:v>Precious stones and metals</c:v>
                </c:pt>
              </c:strCache>
            </c:strRef>
          </c:cat>
          <c:val>
            <c:numRef>
              <c:f>Foglio1!$B$2:$B$11</c:f>
              <c:numCache>
                <c:formatCode>#,##0</c:formatCode>
                <c:ptCount val="10"/>
                <c:pt idx="0">
                  <c:v>14675800.408</c:v>
                </c:pt>
                <c:pt idx="1">
                  <c:v>13435632.572000001</c:v>
                </c:pt>
                <c:pt idx="2">
                  <c:v>10793093.32</c:v>
                </c:pt>
                <c:pt idx="3">
                  <c:v>9399800.1319999993</c:v>
                </c:pt>
                <c:pt idx="4">
                  <c:v>8171919.324</c:v>
                </c:pt>
                <c:pt idx="5">
                  <c:v>6000702.3260000004</c:v>
                </c:pt>
                <c:pt idx="6">
                  <c:v>4703753.5039999997</c:v>
                </c:pt>
                <c:pt idx="7">
                  <c:v>4178426.8969999999</c:v>
                </c:pt>
                <c:pt idx="8">
                  <c:v>3312661.6430000002</c:v>
                </c:pt>
                <c:pt idx="9">
                  <c:v>2274301.4130000002</c:v>
                </c:pt>
              </c:numCache>
            </c:numRef>
          </c:val>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all" baseline="0">
                <a:solidFill>
                  <a:schemeClr val="tx1">
                    <a:lumMod val="65000"/>
                    <a:lumOff val="35000"/>
                  </a:schemeClr>
                </a:solidFill>
                <a:latin typeface="+mn-lt"/>
                <a:ea typeface="+mn-ea"/>
                <a:cs typeface="+mn-cs"/>
              </a:defRPr>
            </a:pPr>
            <a:r>
              <a:rPr lang="en-US" sz="1100"/>
              <a:t>Top 10 prodotti - Import (in migliaia di £) </a:t>
            </a:r>
            <a:r>
              <a:rPr lang="en-US" sz="1100" b="1" i="0" u="none" strike="noStrike" cap="all" baseline="0">
                <a:effectLst/>
              </a:rPr>
              <a:t>(totali ad ottobre 2016)</a:t>
            </a:r>
          </a:p>
          <a:p>
            <a:pPr>
              <a:defRPr sz="1100"/>
            </a:pPr>
            <a:endParaRPr lang="en-US" sz="1100"/>
          </a:p>
        </c:rich>
      </c:tx>
      <c:overlay val="0"/>
      <c:spPr>
        <a:noFill/>
        <a:ln>
          <a:noFill/>
        </a:ln>
        <a:effectLst/>
      </c:spPr>
      <c:txPr>
        <a:bodyPr rot="0" spcFirstLastPara="1" vertOverflow="ellipsis" vert="horz" wrap="square" anchor="ctr" anchorCtr="1"/>
        <a:lstStyle/>
        <a:p>
          <a:pPr>
            <a:defRPr sz="1100" b="1" i="0" u="none" strike="noStrike" kern="1200" cap="all"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Top 10 prodotti - import (in migliaia di £)</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it-IT"/>
                </a:p>
              </c:txPr>
              <c:dLblPos val="outEnd"/>
              <c:showLegendKey val="0"/>
              <c:showVal val="0"/>
              <c:showCatName val="1"/>
              <c:showSerName val="0"/>
              <c:showPercent val="1"/>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it-IT"/>
                </a:p>
              </c:txPr>
              <c:dLblPos val="outEnd"/>
              <c:showLegendKey val="0"/>
              <c:showVal val="0"/>
              <c:showCatName val="1"/>
              <c:showSerName val="0"/>
              <c:showPercent val="1"/>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it-IT"/>
                </a:p>
              </c:txPr>
              <c:dLblPos val="outEnd"/>
              <c:showLegendKey val="0"/>
              <c:showVal val="0"/>
              <c:showCatName val="1"/>
              <c:showSerName val="0"/>
              <c:showPercent val="1"/>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it-IT"/>
                </a:p>
              </c:txPr>
              <c:dLblPos val="outEnd"/>
              <c:showLegendKey val="0"/>
              <c:showVal val="0"/>
              <c:showCatName val="1"/>
              <c:showSerName val="0"/>
              <c:showPercent val="1"/>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it-IT"/>
                </a:p>
              </c:txPr>
              <c:dLblPos val="outEnd"/>
              <c:showLegendKey val="0"/>
              <c:showVal val="0"/>
              <c:showCatName val="1"/>
              <c:showSerName val="0"/>
              <c:showPercent val="1"/>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it-IT"/>
                </a:p>
              </c:txPr>
              <c:dLblPos val="outEnd"/>
              <c:showLegendKey val="0"/>
              <c:showVal val="0"/>
              <c:showCatName val="1"/>
              <c:showSerName val="0"/>
              <c:showPercent val="1"/>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it-IT"/>
                </a:p>
              </c:txPr>
              <c:dLblPos val="outEnd"/>
              <c:showLegendKey val="0"/>
              <c:showVal val="0"/>
              <c:showCatName val="1"/>
              <c:showSerName val="0"/>
              <c:showPercent val="1"/>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it-IT"/>
                </a:p>
              </c:txPr>
              <c:dLblPos val="outEnd"/>
              <c:showLegendKey val="0"/>
              <c:showVal val="0"/>
              <c:showCatName val="1"/>
              <c:showSerName val="0"/>
              <c:showPercent val="1"/>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it-IT"/>
                </a:p>
              </c:txPr>
              <c:dLblPos val="outEnd"/>
              <c:showLegendKey val="0"/>
              <c:showVal val="0"/>
              <c:showCatName val="1"/>
              <c:showSerName val="0"/>
              <c:showPercent val="1"/>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it-IT"/>
                </a:p>
              </c:txPr>
              <c:dLblPos val="outEnd"/>
              <c:showLegendKey val="0"/>
              <c:showVal val="0"/>
              <c:showCatName val="1"/>
              <c:showSerName val="0"/>
              <c:showPercent val="1"/>
              <c:showBubbleSize val="0"/>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Foglio1!$A$2:$A$11</c:f>
              <c:strCache>
                <c:ptCount val="10"/>
                <c:pt idx="0">
                  <c:v>Precious stones and metals</c:v>
                </c:pt>
                <c:pt idx="1">
                  <c:v>Vehicles</c:v>
                </c:pt>
                <c:pt idx="2">
                  <c:v>Nuclear reactors</c:v>
                </c:pt>
                <c:pt idx="3">
                  <c:v>Electrical machinery</c:v>
                </c:pt>
                <c:pt idx="4">
                  <c:v>Mineral fuels</c:v>
                </c:pt>
                <c:pt idx="5">
                  <c:v>Pharmaceutical products</c:v>
                </c:pt>
                <c:pt idx="6">
                  <c:v>Aircraft, spacecraft, and parts thereof</c:v>
                </c:pt>
                <c:pt idx="7">
                  <c:v>Optical</c:v>
                </c:pt>
                <c:pt idx="8">
                  <c:v>Plastics and plastic products</c:v>
                </c:pt>
                <c:pt idx="9">
                  <c:v>Articles of apparel and clothing accessories</c:v>
                </c:pt>
              </c:strCache>
            </c:strRef>
          </c:cat>
          <c:val>
            <c:numRef>
              <c:f>Foglio1!$B$2:$B$11</c:f>
              <c:numCache>
                <c:formatCode>#,##0</c:formatCode>
                <c:ptCount val="10"/>
                <c:pt idx="0">
                  <c:v>47205902.030999996</c:v>
                </c:pt>
                <c:pt idx="1">
                  <c:v>46568093.516999997</c:v>
                </c:pt>
                <c:pt idx="2">
                  <c:v>46027464.278999999</c:v>
                </c:pt>
                <c:pt idx="3">
                  <c:v>34141855.643999994</c:v>
                </c:pt>
                <c:pt idx="4">
                  <c:v>22639684.673</c:v>
                </c:pt>
                <c:pt idx="5">
                  <c:v>19989317.410999998</c:v>
                </c:pt>
                <c:pt idx="6">
                  <c:v>11939981.649999999</c:v>
                </c:pt>
                <c:pt idx="7">
                  <c:v>10611947.196</c:v>
                </c:pt>
                <c:pt idx="8">
                  <c:v>10571895.557</c:v>
                </c:pt>
                <c:pt idx="9">
                  <c:v>7585336.9210000001</c:v>
                </c:pt>
              </c:numCache>
            </c:numRef>
          </c:val>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all" baseline="0">
                <a:solidFill>
                  <a:schemeClr val="tx1">
                    <a:lumMod val="65000"/>
                    <a:lumOff val="35000"/>
                  </a:schemeClr>
                </a:solidFill>
                <a:latin typeface="+mn-lt"/>
                <a:ea typeface="+mn-ea"/>
                <a:cs typeface="+mn-cs"/>
              </a:defRPr>
            </a:pPr>
            <a:r>
              <a:rPr lang="en-US" sz="1100"/>
              <a:t>Top 10 prodotti - Import (in migliaia di £) </a:t>
            </a:r>
            <a:r>
              <a:rPr lang="en-US" sz="1100" b="1" i="0" u="none" strike="noStrike" cap="all" baseline="0">
                <a:effectLst/>
              </a:rPr>
              <a:t>(totali ad ottobre 2016)</a:t>
            </a:r>
          </a:p>
          <a:p>
            <a:pPr>
              <a:defRPr sz="1100"/>
            </a:pPr>
            <a:endParaRPr lang="en-US" sz="1100"/>
          </a:p>
        </c:rich>
      </c:tx>
      <c:overlay val="0"/>
      <c:spPr>
        <a:noFill/>
        <a:ln>
          <a:noFill/>
        </a:ln>
        <a:effectLst/>
      </c:spPr>
      <c:txPr>
        <a:bodyPr rot="0" spcFirstLastPara="1" vertOverflow="ellipsis" vert="horz" wrap="square" anchor="ctr" anchorCtr="1"/>
        <a:lstStyle/>
        <a:p>
          <a:pPr>
            <a:defRPr sz="1100" b="1" i="0" u="none" strike="noStrike" kern="1200" cap="all" baseline="0">
              <a:solidFill>
                <a:schemeClr val="tx1">
                  <a:lumMod val="65000"/>
                  <a:lumOff val="35000"/>
                </a:schemeClr>
              </a:solidFill>
              <a:latin typeface="+mn-lt"/>
              <a:ea typeface="+mn-ea"/>
              <a:cs typeface="+mn-cs"/>
            </a:defRPr>
          </a:pPr>
          <a:endParaRPr lang="it-IT"/>
        </a:p>
      </c:txPr>
    </c:title>
    <c:autoTitleDeleted val="0"/>
    <c:plotArea>
      <c:layout/>
      <c:pieChart>
        <c:varyColors val="1"/>
        <c:ser>
          <c:idx val="0"/>
          <c:order val="0"/>
          <c:tx>
            <c:strRef>
              <c:f>Foglio1!$B$1</c:f>
              <c:strCache>
                <c:ptCount val="1"/>
                <c:pt idx="0">
                  <c:v>Top 10 prodotti - import (in migliaia di £)</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it-IT"/>
                </a:p>
              </c:txPr>
              <c:dLblPos val="outEnd"/>
              <c:showLegendKey val="0"/>
              <c:showVal val="0"/>
              <c:showCatName val="1"/>
              <c:showSerName val="0"/>
              <c:showPercent val="1"/>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it-IT"/>
                </a:p>
              </c:txPr>
              <c:dLblPos val="outEnd"/>
              <c:showLegendKey val="0"/>
              <c:showVal val="0"/>
              <c:showCatName val="1"/>
              <c:showSerName val="0"/>
              <c:showPercent val="1"/>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it-IT"/>
                </a:p>
              </c:txPr>
              <c:dLblPos val="outEnd"/>
              <c:showLegendKey val="0"/>
              <c:showVal val="0"/>
              <c:showCatName val="1"/>
              <c:showSerName val="0"/>
              <c:showPercent val="1"/>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it-IT"/>
                </a:p>
              </c:txPr>
              <c:dLblPos val="outEnd"/>
              <c:showLegendKey val="0"/>
              <c:showVal val="0"/>
              <c:showCatName val="1"/>
              <c:showSerName val="0"/>
              <c:showPercent val="1"/>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it-IT"/>
                </a:p>
              </c:txPr>
              <c:dLblPos val="outEnd"/>
              <c:showLegendKey val="0"/>
              <c:showVal val="0"/>
              <c:showCatName val="1"/>
              <c:showSerName val="0"/>
              <c:showPercent val="1"/>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it-IT"/>
                </a:p>
              </c:txPr>
              <c:dLblPos val="outEnd"/>
              <c:showLegendKey val="0"/>
              <c:showVal val="0"/>
              <c:showCatName val="1"/>
              <c:showSerName val="0"/>
              <c:showPercent val="1"/>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it-IT"/>
                </a:p>
              </c:txPr>
              <c:dLblPos val="outEnd"/>
              <c:showLegendKey val="0"/>
              <c:showVal val="0"/>
              <c:showCatName val="1"/>
              <c:showSerName val="0"/>
              <c:showPercent val="1"/>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it-IT"/>
                </a:p>
              </c:txPr>
              <c:dLblPos val="outEnd"/>
              <c:showLegendKey val="0"/>
              <c:showVal val="0"/>
              <c:showCatName val="1"/>
              <c:showSerName val="0"/>
              <c:showPercent val="1"/>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it-IT"/>
                </a:p>
              </c:txPr>
              <c:dLblPos val="outEnd"/>
              <c:showLegendKey val="0"/>
              <c:showVal val="0"/>
              <c:showCatName val="1"/>
              <c:showSerName val="0"/>
              <c:showPercent val="1"/>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it-IT"/>
                </a:p>
              </c:txPr>
              <c:dLblPos val="outEnd"/>
              <c:showLegendKey val="0"/>
              <c:showVal val="0"/>
              <c:showCatName val="1"/>
              <c:showSerName val="0"/>
              <c:showPercent val="1"/>
              <c:showBubbleSize val="0"/>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Foglio1!$A$2:$A$11</c:f>
              <c:strCache>
                <c:ptCount val="10"/>
                <c:pt idx="0">
                  <c:v>Precious stones and metals</c:v>
                </c:pt>
                <c:pt idx="1">
                  <c:v>Vehicles</c:v>
                </c:pt>
                <c:pt idx="2">
                  <c:v>Nuclear reactors</c:v>
                </c:pt>
                <c:pt idx="3">
                  <c:v>Electrical machinery</c:v>
                </c:pt>
                <c:pt idx="4">
                  <c:v>Mineral fuels</c:v>
                </c:pt>
                <c:pt idx="5">
                  <c:v>Pharmaceutical products</c:v>
                </c:pt>
                <c:pt idx="6">
                  <c:v>Aircraft, spacecraft, and parts thereof</c:v>
                </c:pt>
                <c:pt idx="7">
                  <c:v>Optical</c:v>
                </c:pt>
                <c:pt idx="8">
                  <c:v>Plastics and plastic products</c:v>
                </c:pt>
                <c:pt idx="9">
                  <c:v>Articles of apparel and clothing accessories</c:v>
                </c:pt>
              </c:strCache>
            </c:strRef>
          </c:cat>
          <c:val>
            <c:numRef>
              <c:f>Foglio1!$B$2:$B$11</c:f>
              <c:numCache>
                <c:formatCode>#,##0</c:formatCode>
                <c:ptCount val="10"/>
                <c:pt idx="0">
                  <c:v>47205902.030999996</c:v>
                </c:pt>
                <c:pt idx="1">
                  <c:v>46568093.516999997</c:v>
                </c:pt>
                <c:pt idx="2">
                  <c:v>46027464.278999999</c:v>
                </c:pt>
                <c:pt idx="3">
                  <c:v>34141855.643999994</c:v>
                </c:pt>
                <c:pt idx="4">
                  <c:v>22639684.673</c:v>
                </c:pt>
                <c:pt idx="5">
                  <c:v>19989317.410999998</c:v>
                </c:pt>
                <c:pt idx="6">
                  <c:v>11939981.649999999</c:v>
                </c:pt>
                <c:pt idx="7">
                  <c:v>10611947.196</c:v>
                </c:pt>
                <c:pt idx="8">
                  <c:v>10571895.557</c:v>
                </c:pt>
                <c:pt idx="9">
                  <c:v>7585336.9210000001</c:v>
                </c:pt>
              </c:numCache>
            </c:numRef>
          </c:val>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it-IT"/>
              <a:t>Top</a:t>
            </a:r>
            <a:r>
              <a:rPr lang="it-IT" baseline="0"/>
              <a:t> 20 import (2015)</a:t>
            </a:r>
            <a:r>
              <a:rPr lang="it-IT"/>
              <a:t> (in milioni di £)</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Germania</c:v>
                </c:pt>
              </c:strCache>
            </c:strRef>
          </c:tx>
          <c:spPr>
            <a:solidFill>
              <a:schemeClr val="accent1"/>
            </a:solidFill>
            <a:ln>
              <a:noFill/>
            </a:ln>
            <a:effectLst/>
          </c:spPr>
          <c:invertIfNegative val="0"/>
          <c:cat>
            <c:numRef>
              <c:f>Foglio1!$A$2</c:f>
              <c:numCache>
                <c:formatCode>#,##0</c:formatCode>
                <c:ptCount val="1"/>
              </c:numCache>
            </c:numRef>
          </c:cat>
          <c:val>
            <c:numRef>
              <c:f>Foglio1!$B$2</c:f>
              <c:numCache>
                <c:formatCode>#,##0</c:formatCode>
                <c:ptCount val="1"/>
                <c:pt idx="0">
                  <c:v>60679</c:v>
                </c:pt>
              </c:numCache>
            </c:numRef>
          </c:val>
        </c:ser>
        <c:ser>
          <c:idx val="1"/>
          <c:order val="1"/>
          <c:tx>
            <c:strRef>
              <c:f>Foglio1!$C$1</c:f>
              <c:strCache>
                <c:ptCount val="1"/>
                <c:pt idx="0">
                  <c:v>China</c:v>
                </c:pt>
              </c:strCache>
            </c:strRef>
          </c:tx>
          <c:spPr>
            <a:solidFill>
              <a:schemeClr val="accent2"/>
            </a:solidFill>
            <a:ln>
              <a:noFill/>
            </a:ln>
            <a:effectLst/>
          </c:spPr>
          <c:invertIfNegative val="0"/>
          <c:cat>
            <c:numRef>
              <c:f>Foglio1!$A$2</c:f>
              <c:numCache>
                <c:formatCode>#,##0</c:formatCode>
                <c:ptCount val="1"/>
              </c:numCache>
            </c:numRef>
          </c:cat>
          <c:val>
            <c:numRef>
              <c:f>Foglio1!$C$2</c:f>
              <c:numCache>
                <c:formatCode>#,##0</c:formatCode>
                <c:ptCount val="1"/>
                <c:pt idx="0">
                  <c:v>36103</c:v>
                </c:pt>
              </c:numCache>
            </c:numRef>
          </c:val>
        </c:ser>
        <c:ser>
          <c:idx val="2"/>
          <c:order val="2"/>
          <c:tx>
            <c:strRef>
              <c:f>Foglio1!$D$1</c:f>
              <c:strCache>
                <c:ptCount val="1"/>
                <c:pt idx="0">
                  <c:v>Stati Uniti</c:v>
                </c:pt>
              </c:strCache>
            </c:strRef>
          </c:tx>
          <c:spPr>
            <a:solidFill>
              <a:schemeClr val="accent3"/>
            </a:solidFill>
            <a:ln>
              <a:noFill/>
            </a:ln>
            <a:effectLst/>
          </c:spPr>
          <c:invertIfNegative val="0"/>
          <c:cat>
            <c:numRef>
              <c:f>Foglio1!$A$2</c:f>
              <c:numCache>
                <c:formatCode>#,##0</c:formatCode>
                <c:ptCount val="1"/>
              </c:numCache>
            </c:numRef>
          </c:cat>
          <c:val>
            <c:numRef>
              <c:f>Foglio1!$D$2</c:f>
              <c:numCache>
                <c:formatCode>#,##0</c:formatCode>
                <c:ptCount val="1"/>
                <c:pt idx="0">
                  <c:v>35291</c:v>
                </c:pt>
              </c:numCache>
            </c:numRef>
          </c:val>
        </c:ser>
        <c:ser>
          <c:idx val="3"/>
          <c:order val="3"/>
          <c:tx>
            <c:strRef>
              <c:f>Foglio1!$E$1</c:f>
              <c:strCache>
                <c:ptCount val="1"/>
                <c:pt idx="0">
                  <c:v>Paesi Bassi</c:v>
                </c:pt>
              </c:strCache>
            </c:strRef>
          </c:tx>
          <c:spPr>
            <a:solidFill>
              <a:schemeClr val="accent4"/>
            </a:solidFill>
            <a:ln>
              <a:noFill/>
            </a:ln>
            <a:effectLst/>
          </c:spPr>
          <c:invertIfNegative val="0"/>
          <c:cat>
            <c:numRef>
              <c:f>Foglio1!$A$2</c:f>
              <c:numCache>
                <c:formatCode>#,##0</c:formatCode>
                <c:ptCount val="1"/>
              </c:numCache>
            </c:numRef>
          </c:cat>
          <c:val>
            <c:numRef>
              <c:f>Foglio1!$E$2</c:f>
              <c:numCache>
                <c:formatCode>#,##0</c:formatCode>
                <c:ptCount val="1"/>
                <c:pt idx="0">
                  <c:v>30890</c:v>
                </c:pt>
              </c:numCache>
            </c:numRef>
          </c:val>
        </c:ser>
        <c:ser>
          <c:idx val="4"/>
          <c:order val="4"/>
          <c:tx>
            <c:strRef>
              <c:f>Foglio1!$F$1</c:f>
              <c:strCache>
                <c:ptCount val="1"/>
                <c:pt idx="0">
                  <c:v>Francia</c:v>
                </c:pt>
              </c:strCache>
            </c:strRef>
          </c:tx>
          <c:spPr>
            <a:solidFill>
              <a:schemeClr val="accent5"/>
            </a:solidFill>
            <a:ln>
              <a:noFill/>
            </a:ln>
            <a:effectLst/>
          </c:spPr>
          <c:invertIfNegative val="0"/>
          <c:cat>
            <c:numRef>
              <c:f>Foglio1!$A$2</c:f>
              <c:numCache>
                <c:formatCode>#,##0</c:formatCode>
                <c:ptCount val="1"/>
              </c:numCache>
            </c:numRef>
          </c:cat>
          <c:val>
            <c:numRef>
              <c:f>Foglio1!$F$2</c:f>
              <c:numCache>
                <c:formatCode>#,##0</c:formatCode>
                <c:ptCount val="1"/>
                <c:pt idx="0">
                  <c:v>23999</c:v>
                </c:pt>
              </c:numCache>
            </c:numRef>
          </c:val>
        </c:ser>
        <c:ser>
          <c:idx val="5"/>
          <c:order val="5"/>
          <c:tx>
            <c:strRef>
              <c:f>Foglio1!$G$1</c:f>
              <c:strCache>
                <c:ptCount val="1"/>
                <c:pt idx="0">
                  <c:v>Belgio</c:v>
                </c:pt>
              </c:strCache>
            </c:strRef>
          </c:tx>
          <c:spPr>
            <a:solidFill>
              <a:schemeClr val="accent6"/>
            </a:solidFill>
            <a:ln>
              <a:noFill/>
            </a:ln>
            <a:effectLst/>
          </c:spPr>
          <c:invertIfNegative val="0"/>
          <c:cat>
            <c:numRef>
              <c:f>Foglio1!$A$2</c:f>
              <c:numCache>
                <c:formatCode>#,##0</c:formatCode>
                <c:ptCount val="1"/>
              </c:numCache>
            </c:numRef>
          </c:cat>
          <c:val>
            <c:numRef>
              <c:f>Foglio1!$G$2</c:f>
              <c:numCache>
                <c:formatCode>#,##0</c:formatCode>
                <c:ptCount val="1"/>
                <c:pt idx="0">
                  <c:v>20470</c:v>
                </c:pt>
              </c:numCache>
            </c:numRef>
          </c:val>
        </c:ser>
        <c:ser>
          <c:idx val="6"/>
          <c:order val="6"/>
          <c:tx>
            <c:strRef>
              <c:f>Foglio1!$H$1</c:f>
              <c:strCache>
                <c:ptCount val="1"/>
                <c:pt idx="0">
                  <c:v>Italia</c:v>
                </c:pt>
              </c:strCache>
            </c:strRef>
          </c:tx>
          <c:spPr>
            <a:solidFill>
              <a:schemeClr val="accent1">
                <a:lumMod val="60000"/>
              </a:schemeClr>
            </a:solidFill>
            <a:ln>
              <a:noFill/>
            </a:ln>
            <a:effectLst/>
          </c:spPr>
          <c:invertIfNegative val="0"/>
          <c:cat>
            <c:numRef>
              <c:f>Foglio1!$A$2</c:f>
              <c:numCache>
                <c:formatCode>#,##0</c:formatCode>
                <c:ptCount val="1"/>
              </c:numCache>
            </c:numRef>
          </c:cat>
          <c:val>
            <c:numRef>
              <c:f>Foglio1!$H$2</c:f>
              <c:numCache>
                <c:formatCode>#,##0</c:formatCode>
                <c:ptCount val="1"/>
                <c:pt idx="0">
                  <c:v>15764</c:v>
                </c:pt>
              </c:numCache>
            </c:numRef>
          </c:val>
        </c:ser>
        <c:ser>
          <c:idx val="7"/>
          <c:order val="7"/>
          <c:tx>
            <c:strRef>
              <c:f>Foglio1!$I$1</c:f>
              <c:strCache>
                <c:ptCount val="1"/>
                <c:pt idx="0">
                  <c:v>Spagna</c:v>
                </c:pt>
              </c:strCache>
            </c:strRef>
          </c:tx>
          <c:spPr>
            <a:solidFill>
              <a:schemeClr val="accent2">
                <a:lumMod val="60000"/>
              </a:schemeClr>
            </a:solidFill>
            <a:ln>
              <a:noFill/>
            </a:ln>
            <a:effectLst/>
          </c:spPr>
          <c:invertIfNegative val="0"/>
          <c:cat>
            <c:numRef>
              <c:f>Foglio1!$A$2</c:f>
              <c:numCache>
                <c:formatCode>#,##0</c:formatCode>
                <c:ptCount val="1"/>
              </c:numCache>
            </c:numRef>
          </c:cat>
          <c:val>
            <c:numRef>
              <c:f>Foglio1!$I$2</c:f>
              <c:numCache>
                <c:formatCode>#,##0</c:formatCode>
                <c:ptCount val="1"/>
                <c:pt idx="0">
                  <c:v>13964</c:v>
                </c:pt>
              </c:numCache>
            </c:numRef>
          </c:val>
        </c:ser>
        <c:ser>
          <c:idx val="8"/>
          <c:order val="8"/>
          <c:tx>
            <c:strRef>
              <c:f>Foglio1!$J$1</c:f>
              <c:strCache>
                <c:ptCount val="1"/>
                <c:pt idx="0">
                  <c:v>Norvegia</c:v>
                </c:pt>
              </c:strCache>
            </c:strRef>
          </c:tx>
          <c:spPr>
            <a:solidFill>
              <a:schemeClr val="accent3">
                <a:lumMod val="60000"/>
              </a:schemeClr>
            </a:solidFill>
            <a:ln>
              <a:noFill/>
            </a:ln>
            <a:effectLst/>
          </c:spPr>
          <c:invertIfNegative val="0"/>
          <c:cat>
            <c:numRef>
              <c:f>Foglio1!$A$2</c:f>
              <c:numCache>
                <c:formatCode>#,##0</c:formatCode>
                <c:ptCount val="1"/>
              </c:numCache>
            </c:numRef>
          </c:cat>
          <c:val>
            <c:numRef>
              <c:f>Foglio1!$J$2</c:f>
              <c:numCache>
                <c:formatCode>#,##0</c:formatCode>
                <c:ptCount val="1"/>
                <c:pt idx="0">
                  <c:v>13035</c:v>
                </c:pt>
              </c:numCache>
            </c:numRef>
          </c:val>
        </c:ser>
        <c:ser>
          <c:idx val="9"/>
          <c:order val="9"/>
          <c:tx>
            <c:strRef>
              <c:f>Foglio1!$K$1</c:f>
              <c:strCache>
                <c:ptCount val="1"/>
                <c:pt idx="0">
                  <c:v>Repubblica Irlandese</c:v>
                </c:pt>
              </c:strCache>
            </c:strRef>
          </c:tx>
          <c:spPr>
            <a:solidFill>
              <a:schemeClr val="accent4">
                <a:lumMod val="60000"/>
              </a:schemeClr>
            </a:solidFill>
            <a:ln>
              <a:noFill/>
            </a:ln>
            <a:effectLst/>
          </c:spPr>
          <c:invertIfNegative val="0"/>
          <c:cat>
            <c:numRef>
              <c:f>Foglio1!$A$2</c:f>
              <c:numCache>
                <c:formatCode>#,##0</c:formatCode>
                <c:ptCount val="1"/>
              </c:numCache>
            </c:numRef>
          </c:cat>
          <c:val>
            <c:numRef>
              <c:f>Foglio1!$K$2</c:f>
              <c:numCache>
                <c:formatCode>#,##0</c:formatCode>
                <c:ptCount val="1"/>
                <c:pt idx="0">
                  <c:v>12509</c:v>
                </c:pt>
              </c:numCache>
            </c:numRef>
          </c:val>
        </c:ser>
        <c:dLbls>
          <c:showLegendKey val="0"/>
          <c:showVal val="0"/>
          <c:showCatName val="0"/>
          <c:showSerName val="0"/>
          <c:showPercent val="0"/>
          <c:showBubbleSize val="0"/>
        </c:dLbls>
        <c:gapWidth val="219"/>
        <c:overlap val="-27"/>
        <c:axId val="458458784"/>
        <c:axId val="458459344"/>
      </c:barChart>
      <c:catAx>
        <c:axId val="458458784"/>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58459344"/>
        <c:crosses val="autoZero"/>
        <c:auto val="1"/>
        <c:lblAlgn val="ctr"/>
        <c:lblOffset val="100"/>
        <c:noMultiLvlLbl val="0"/>
      </c:catAx>
      <c:valAx>
        <c:axId val="45845934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58458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it-IT"/>
              <a:t>Top</a:t>
            </a:r>
            <a:r>
              <a:rPr lang="it-IT" baseline="0"/>
              <a:t> 20 import (2015)</a:t>
            </a:r>
            <a:r>
              <a:rPr lang="it-IT"/>
              <a:t> (in milioni di £)</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Germania</c:v>
                </c:pt>
              </c:strCache>
            </c:strRef>
          </c:tx>
          <c:spPr>
            <a:solidFill>
              <a:schemeClr val="accent1"/>
            </a:solidFill>
            <a:ln>
              <a:noFill/>
            </a:ln>
            <a:effectLst/>
          </c:spPr>
          <c:invertIfNegative val="0"/>
          <c:cat>
            <c:numRef>
              <c:f>Foglio1!$A$2</c:f>
              <c:numCache>
                <c:formatCode>#,##0</c:formatCode>
                <c:ptCount val="1"/>
              </c:numCache>
            </c:numRef>
          </c:cat>
          <c:val>
            <c:numRef>
              <c:f>Foglio1!$B$2</c:f>
              <c:numCache>
                <c:formatCode>#,##0</c:formatCode>
                <c:ptCount val="1"/>
                <c:pt idx="0">
                  <c:v>60679</c:v>
                </c:pt>
              </c:numCache>
            </c:numRef>
          </c:val>
        </c:ser>
        <c:ser>
          <c:idx val="1"/>
          <c:order val="1"/>
          <c:tx>
            <c:strRef>
              <c:f>Foglio1!$C$1</c:f>
              <c:strCache>
                <c:ptCount val="1"/>
                <c:pt idx="0">
                  <c:v>China</c:v>
                </c:pt>
              </c:strCache>
            </c:strRef>
          </c:tx>
          <c:spPr>
            <a:solidFill>
              <a:schemeClr val="accent2"/>
            </a:solidFill>
            <a:ln>
              <a:noFill/>
            </a:ln>
            <a:effectLst/>
          </c:spPr>
          <c:invertIfNegative val="0"/>
          <c:cat>
            <c:numRef>
              <c:f>Foglio1!$A$2</c:f>
              <c:numCache>
                <c:formatCode>#,##0</c:formatCode>
                <c:ptCount val="1"/>
              </c:numCache>
            </c:numRef>
          </c:cat>
          <c:val>
            <c:numRef>
              <c:f>Foglio1!$C$2</c:f>
              <c:numCache>
                <c:formatCode>#,##0</c:formatCode>
                <c:ptCount val="1"/>
                <c:pt idx="0">
                  <c:v>36103</c:v>
                </c:pt>
              </c:numCache>
            </c:numRef>
          </c:val>
        </c:ser>
        <c:ser>
          <c:idx val="2"/>
          <c:order val="2"/>
          <c:tx>
            <c:strRef>
              <c:f>Foglio1!$D$1</c:f>
              <c:strCache>
                <c:ptCount val="1"/>
                <c:pt idx="0">
                  <c:v>Stati Uniti</c:v>
                </c:pt>
              </c:strCache>
            </c:strRef>
          </c:tx>
          <c:spPr>
            <a:solidFill>
              <a:schemeClr val="accent3"/>
            </a:solidFill>
            <a:ln>
              <a:noFill/>
            </a:ln>
            <a:effectLst/>
          </c:spPr>
          <c:invertIfNegative val="0"/>
          <c:cat>
            <c:numRef>
              <c:f>Foglio1!$A$2</c:f>
              <c:numCache>
                <c:formatCode>#,##0</c:formatCode>
                <c:ptCount val="1"/>
              </c:numCache>
            </c:numRef>
          </c:cat>
          <c:val>
            <c:numRef>
              <c:f>Foglio1!$D$2</c:f>
              <c:numCache>
                <c:formatCode>#,##0</c:formatCode>
                <c:ptCount val="1"/>
                <c:pt idx="0">
                  <c:v>35291</c:v>
                </c:pt>
              </c:numCache>
            </c:numRef>
          </c:val>
        </c:ser>
        <c:ser>
          <c:idx val="3"/>
          <c:order val="3"/>
          <c:tx>
            <c:strRef>
              <c:f>Foglio1!$E$1</c:f>
              <c:strCache>
                <c:ptCount val="1"/>
                <c:pt idx="0">
                  <c:v>Paesi Bassi</c:v>
                </c:pt>
              </c:strCache>
            </c:strRef>
          </c:tx>
          <c:spPr>
            <a:solidFill>
              <a:schemeClr val="accent4"/>
            </a:solidFill>
            <a:ln>
              <a:noFill/>
            </a:ln>
            <a:effectLst/>
          </c:spPr>
          <c:invertIfNegative val="0"/>
          <c:cat>
            <c:numRef>
              <c:f>Foglio1!$A$2</c:f>
              <c:numCache>
                <c:formatCode>#,##0</c:formatCode>
                <c:ptCount val="1"/>
              </c:numCache>
            </c:numRef>
          </c:cat>
          <c:val>
            <c:numRef>
              <c:f>Foglio1!$E$2</c:f>
              <c:numCache>
                <c:formatCode>#,##0</c:formatCode>
                <c:ptCount val="1"/>
                <c:pt idx="0">
                  <c:v>30890</c:v>
                </c:pt>
              </c:numCache>
            </c:numRef>
          </c:val>
        </c:ser>
        <c:ser>
          <c:idx val="4"/>
          <c:order val="4"/>
          <c:tx>
            <c:strRef>
              <c:f>Foglio1!$F$1</c:f>
              <c:strCache>
                <c:ptCount val="1"/>
                <c:pt idx="0">
                  <c:v>Francia</c:v>
                </c:pt>
              </c:strCache>
            </c:strRef>
          </c:tx>
          <c:spPr>
            <a:solidFill>
              <a:schemeClr val="accent5"/>
            </a:solidFill>
            <a:ln>
              <a:noFill/>
            </a:ln>
            <a:effectLst/>
          </c:spPr>
          <c:invertIfNegative val="0"/>
          <c:cat>
            <c:numRef>
              <c:f>Foglio1!$A$2</c:f>
              <c:numCache>
                <c:formatCode>#,##0</c:formatCode>
                <c:ptCount val="1"/>
              </c:numCache>
            </c:numRef>
          </c:cat>
          <c:val>
            <c:numRef>
              <c:f>Foglio1!$F$2</c:f>
              <c:numCache>
                <c:formatCode>#,##0</c:formatCode>
                <c:ptCount val="1"/>
                <c:pt idx="0">
                  <c:v>23999</c:v>
                </c:pt>
              </c:numCache>
            </c:numRef>
          </c:val>
        </c:ser>
        <c:ser>
          <c:idx val="5"/>
          <c:order val="5"/>
          <c:tx>
            <c:strRef>
              <c:f>Foglio1!$G$1</c:f>
              <c:strCache>
                <c:ptCount val="1"/>
                <c:pt idx="0">
                  <c:v>Belgio</c:v>
                </c:pt>
              </c:strCache>
            </c:strRef>
          </c:tx>
          <c:spPr>
            <a:solidFill>
              <a:schemeClr val="accent6"/>
            </a:solidFill>
            <a:ln>
              <a:noFill/>
            </a:ln>
            <a:effectLst/>
          </c:spPr>
          <c:invertIfNegative val="0"/>
          <c:cat>
            <c:numRef>
              <c:f>Foglio1!$A$2</c:f>
              <c:numCache>
                <c:formatCode>#,##0</c:formatCode>
                <c:ptCount val="1"/>
              </c:numCache>
            </c:numRef>
          </c:cat>
          <c:val>
            <c:numRef>
              <c:f>Foglio1!$G$2</c:f>
              <c:numCache>
                <c:formatCode>#,##0</c:formatCode>
                <c:ptCount val="1"/>
                <c:pt idx="0">
                  <c:v>20470</c:v>
                </c:pt>
              </c:numCache>
            </c:numRef>
          </c:val>
        </c:ser>
        <c:ser>
          <c:idx val="6"/>
          <c:order val="6"/>
          <c:tx>
            <c:strRef>
              <c:f>Foglio1!$H$1</c:f>
              <c:strCache>
                <c:ptCount val="1"/>
                <c:pt idx="0">
                  <c:v>Italia</c:v>
                </c:pt>
              </c:strCache>
            </c:strRef>
          </c:tx>
          <c:spPr>
            <a:solidFill>
              <a:schemeClr val="accent1">
                <a:lumMod val="60000"/>
              </a:schemeClr>
            </a:solidFill>
            <a:ln>
              <a:noFill/>
            </a:ln>
            <a:effectLst/>
          </c:spPr>
          <c:invertIfNegative val="0"/>
          <c:cat>
            <c:numRef>
              <c:f>Foglio1!$A$2</c:f>
              <c:numCache>
                <c:formatCode>#,##0</c:formatCode>
                <c:ptCount val="1"/>
              </c:numCache>
            </c:numRef>
          </c:cat>
          <c:val>
            <c:numRef>
              <c:f>Foglio1!$H$2</c:f>
              <c:numCache>
                <c:formatCode>#,##0</c:formatCode>
                <c:ptCount val="1"/>
                <c:pt idx="0">
                  <c:v>15764</c:v>
                </c:pt>
              </c:numCache>
            </c:numRef>
          </c:val>
        </c:ser>
        <c:ser>
          <c:idx val="7"/>
          <c:order val="7"/>
          <c:tx>
            <c:strRef>
              <c:f>Foglio1!$I$1</c:f>
              <c:strCache>
                <c:ptCount val="1"/>
                <c:pt idx="0">
                  <c:v>Spagna</c:v>
                </c:pt>
              </c:strCache>
            </c:strRef>
          </c:tx>
          <c:spPr>
            <a:solidFill>
              <a:schemeClr val="accent2">
                <a:lumMod val="60000"/>
              </a:schemeClr>
            </a:solidFill>
            <a:ln>
              <a:noFill/>
            </a:ln>
            <a:effectLst/>
          </c:spPr>
          <c:invertIfNegative val="0"/>
          <c:cat>
            <c:numRef>
              <c:f>Foglio1!$A$2</c:f>
              <c:numCache>
                <c:formatCode>#,##0</c:formatCode>
                <c:ptCount val="1"/>
              </c:numCache>
            </c:numRef>
          </c:cat>
          <c:val>
            <c:numRef>
              <c:f>Foglio1!$I$2</c:f>
              <c:numCache>
                <c:formatCode>#,##0</c:formatCode>
                <c:ptCount val="1"/>
                <c:pt idx="0">
                  <c:v>13964</c:v>
                </c:pt>
              </c:numCache>
            </c:numRef>
          </c:val>
        </c:ser>
        <c:ser>
          <c:idx val="8"/>
          <c:order val="8"/>
          <c:tx>
            <c:strRef>
              <c:f>Foglio1!$J$1</c:f>
              <c:strCache>
                <c:ptCount val="1"/>
                <c:pt idx="0">
                  <c:v>Norvegia</c:v>
                </c:pt>
              </c:strCache>
            </c:strRef>
          </c:tx>
          <c:spPr>
            <a:solidFill>
              <a:schemeClr val="accent3">
                <a:lumMod val="60000"/>
              </a:schemeClr>
            </a:solidFill>
            <a:ln>
              <a:noFill/>
            </a:ln>
            <a:effectLst/>
          </c:spPr>
          <c:invertIfNegative val="0"/>
          <c:cat>
            <c:numRef>
              <c:f>Foglio1!$A$2</c:f>
              <c:numCache>
                <c:formatCode>#,##0</c:formatCode>
                <c:ptCount val="1"/>
              </c:numCache>
            </c:numRef>
          </c:cat>
          <c:val>
            <c:numRef>
              <c:f>Foglio1!$J$2</c:f>
              <c:numCache>
                <c:formatCode>#,##0</c:formatCode>
                <c:ptCount val="1"/>
                <c:pt idx="0">
                  <c:v>13035</c:v>
                </c:pt>
              </c:numCache>
            </c:numRef>
          </c:val>
        </c:ser>
        <c:ser>
          <c:idx val="9"/>
          <c:order val="9"/>
          <c:tx>
            <c:strRef>
              <c:f>Foglio1!$K$1</c:f>
              <c:strCache>
                <c:ptCount val="1"/>
                <c:pt idx="0">
                  <c:v>Repubblica Irlandese</c:v>
                </c:pt>
              </c:strCache>
            </c:strRef>
          </c:tx>
          <c:spPr>
            <a:solidFill>
              <a:schemeClr val="accent4">
                <a:lumMod val="60000"/>
              </a:schemeClr>
            </a:solidFill>
            <a:ln>
              <a:noFill/>
            </a:ln>
            <a:effectLst/>
          </c:spPr>
          <c:invertIfNegative val="0"/>
          <c:cat>
            <c:numRef>
              <c:f>Foglio1!$A$2</c:f>
              <c:numCache>
                <c:formatCode>#,##0</c:formatCode>
                <c:ptCount val="1"/>
              </c:numCache>
            </c:numRef>
          </c:cat>
          <c:val>
            <c:numRef>
              <c:f>Foglio1!$K$2</c:f>
              <c:numCache>
                <c:formatCode>#,##0</c:formatCode>
                <c:ptCount val="1"/>
                <c:pt idx="0">
                  <c:v>12509</c:v>
                </c:pt>
              </c:numCache>
            </c:numRef>
          </c:val>
        </c:ser>
        <c:dLbls>
          <c:showLegendKey val="0"/>
          <c:showVal val="0"/>
          <c:showCatName val="0"/>
          <c:showSerName val="0"/>
          <c:showPercent val="0"/>
          <c:showBubbleSize val="0"/>
        </c:dLbls>
        <c:gapWidth val="219"/>
        <c:overlap val="-27"/>
        <c:axId val="322074560"/>
        <c:axId val="322075120"/>
      </c:barChart>
      <c:catAx>
        <c:axId val="322074560"/>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22075120"/>
        <c:crosses val="autoZero"/>
        <c:auto val="1"/>
        <c:lblAlgn val="ctr"/>
        <c:lblOffset val="100"/>
        <c:noMultiLvlLbl val="0"/>
      </c:catAx>
      <c:valAx>
        <c:axId val="3220751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22074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it-IT"/>
              <a:t>Top</a:t>
            </a:r>
            <a:r>
              <a:rPr lang="it-IT" baseline="0"/>
              <a:t> 20 export 2015 </a:t>
            </a:r>
            <a:r>
              <a:rPr lang="it-IT"/>
              <a:t>(in milioni di £)</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Stati Uniti</c:v>
                </c:pt>
              </c:strCache>
            </c:strRef>
          </c:tx>
          <c:spPr>
            <a:solidFill>
              <a:schemeClr val="accent1"/>
            </a:solidFill>
            <a:ln>
              <a:noFill/>
            </a:ln>
            <a:effectLst/>
          </c:spPr>
          <c:invertIfNegative val="0"/>
          <c:cat>
            <c:numRef>
              <c:f>Foglio1!$A$2</c:f>
              <c:numCache>
                <c:formatCode>#,##0</c:formatCode>
                <c:ptCount val="1"/>
              </c:numCache>
            </c:numRef>
          </c:cat>
          <c:val>
            <c:numRef>
              <c:f>Foglio1!$B$2</c:f>
              <c:numCache>
                <c:formatCode>#,##0</c:formatCode>
                <c:ptCount val="1"/>
                <c:pt idx="0">
                  <c:v>45276</c:v>
                </c:pt>
              </c:numCache>
            </c:numRef>
          </c:val>
        </c:ser>
        <c:ser>
          <c:idx val="1"/>
          <c:order val="1"/>
          <c:tx>
            <c:strRef>
              <c:f>Foglio1!$C$1</c:f>
              <c:strCache>
                <c:ptCount val="1"/>
                <c:pt idx="0">
                  <c:v>Germania</c:v>
                </c:pt>
              </c:strCache>
            </c:strRef>
          </c:tx>
          <c:spPr>
            <a:solidFill>
              <a:schemeClr val="accent2"/>
            </a:solidFill>
            <a:ln>
              <a:noFill/>
            </a:ln>
            <a:effectLst/>
          </c:spPr>
          <c:invertIfNegative val="0"/>
          <c:cat>
            <c:numRef>
              <c:f>Foglio1!$A$2</c:f>
              <c:numCache>
                <c:formatCode>#,##0</c:formatCode>
                <c:ptCount val="1"/>
              </c:numCache>
            </c:numRef>
          </c:cat>
          <c:val>
            <c:numRef>
              <c:f>Foglio1!$C$2</c:f>
              <c:numCache>
                <c:formatCode>#,##0</c:formatCode>
                <c:ptCount val="1"/>
                <c:pt idx="0">
                  <c:v>30352</c:v>
                </c:pt>
              </c:numCache>
            </c:numRef>
          </c:val>
        </c:ser>
        <c:ser>
          <c:idx val="2"/>
          <c:order val="2"/>
          <c:tx>
            <c:strRef>
              <c:f>Foglio1!$D$1</c:f>
              <c:strCache>
                <c:ptCount val="1"/>
                <c:pt idx="0">
                  <c:v>Svizzera</c:v>
                </c:pt>
              </c:strCache>
            </c:strRef>
          </c:tx>
          <c:spPr>
            <a:solidFill>
              <a:schemeClr val="accent3"/>
            </a:solidFill>
            <a:ln>
              <a:noFill/>
            </a:ln>
            <a:effectLst/>
          </c:spPr>
          <c:invertIfNegative val="0"/>
          <c:cat>
            <c:numRef>
              <c:f>Foglio1!$A$2</c:f>
              <c:numCache>
                <c:formatCode>#,##0</c:formatCode>
                <c:ptCount val="1"/>
              </c:numCache>
            </c:numRef>
          </c:cat>
          <c:val>
            <c:numRef>
              <c:f>Foglio1!$D$2</c:f>
              <c:numCache>
                <c:formatCode>#,##0</c:formatCode>
                <c:ptCount val="1"/>
                <c:pt idx="0">
                  <c:v>22244</c:v>
                </c:pt>
              </c:numCache>
            </c:numRef>
          </c:val>
        </c:ser>
        <c:ser>
          <c:idx val="3"/>
          <c:order val="3"/>
          <c:tx>
            <c:strRef>
              <c:f>Foglio1!$E$1</c:f>
              <c:strCache>
                <c:ptCount val="1"/>
                <c:pt idx="0">
                  <c:v>China</c:v>
                </c:pt>
              </c:strCache>
            </c:strRef>
          </c:tx>
          <c:spPr>
            <a:solidFill>
              <a:schemeClr val="accent4"/>
            </a:solidFill>
            <a:ln>
              <a:noFill/>
            </a:ln>
            <a:effectLst/>
          </c:spPr>
          <c:invertIfNegative val="0"/>
          <c:cat>
            <c:numRef>
              <c:f>Foglio1!$A$2</c:f>
              <c:numCache>
                <c:formatCode>#,##0</c:formatCode>
                <c:ptCount val="1"/>
              </c:numCache>
            </c:numRef>
          </c:cat>
          <c:val>
            <c:numRef>
              <c:f>Foglio1!$E$2</c:f>
              <c:numCache>
                <c:formatCode>#,##0</c:formatCode>
                <c:ptCount val="1"/>
                <c:pt idx="0">
                  <c:v>18071</c:v>
                </c:pt>
              </c:numCache>
            </c:numRef>
          </c:val>
        </c:ser>
        <c:ser>
          <c:idx val="4"/>
          <c:order val="4"/>
          <c:tx>
            <c:strRef>
              <c:f>Foglio1!$F$1</c:f>
              <c:strCache>
                <c:ptCount val="1"/>
                <c:pt idx="0">
                  <c:v>Francia</c:v>
                </c:pt>
              </c:strCache>
            </c:strRef>
          </c:tx>
          <c:spPr>
            <a:solidFill>
              <a:schemeClr val="accent5"/>
            </a:solidFill>
            <a:ln>
              <a:noFill/>
            </a:ln>
            <a:effectLst/>
          </c:spPr>
          <c:invertIfNegative val="0"/>
          <c:cat>
            <c:numRef>
              <c:f>Foglio1!$A$2</c:f>
              <c:numCache>
                <c:formatCode>#,##0</c:formatCode>
                <c:ptCount val="1"/>
              </c:numCache>
            </c:numRef>
          </c:cat>
          <c:val>
            <c:numRef>
              <c:f>Foglio1!$F$2</c:f>
              <c:numCache>
                <c:formatCode>#,##0</c:formatCode>
                <c:ptCount val="1"/>
                <c:pt idx="0">
                  <c:v>17830</c:v>
                </c:pt>
              </c:numCache>
            </c:numRef>
          </c:val>
        </c:ser>
        <c:ser>
          <c:idx val="5"/>
          <c:order val="5"/>
          <c:tx>
            <c:strRef>
              <c:f>Foglio1!$G$1</c:f>
              <c:strCache>
                <c:ptCount val="1"/>
                <c:pt idx="0">
                  <c:v>Paesi Bassi</c:v>
                </c:pt>
              </c:strCache>
            </c:strRef>
          </c:tx>
          <c:spPr>
            <a:solidFill>
              <a:schemeClr val="accent6"/>
            </a:solidFill>
            <a:ln>
              <a:noFill/>
            </a:ln>
            <a:effectLst/>
          </c:spPr>
          <c:invertIfNegative val="0"/>
          <c:cat>
            <c:numRef>
              <c:f>Foglio1!$A$2</c:f>
              <c:numCache>
                <c:formatCode>#,##0</c:formatCode>
                <c:ptCount val="1"/>
              </c:numCache>
            </c:numRef>
          </c:cat>
          <c:val>
            <c:numRef>
              <c:f>Foglio1!$G$2</c:f>
              <c:numCache>
                <c:formatCode>#,##0</c:formatCode>
                <c:ptCount val="1"/>
                <c:pt idx="0">
                  <c:v>17338</c:v>
                </c:pt>
              </c:numCache>
            </c:numRef>
          </c:val>
        </c:ser>
        <c:ser>
          <c:idx val="6"/>
          <c:order val="6"/>
          <c:tx>
            <c:strRef>
              <c:f>Foglio1!$H$1</c:f>
              <c:strCache>
                <c:ptCount val="1"/>
                <c:pt idx="0">
                  <c:v>Repubblica Irlandese</c:v>
                </c:pt>
              </c:strCache>
            </c:strRef>
          </c:tx>
          <c:spPr>
            <a:solidFill>
              <a:schemeClr val="accent1">
                <a:lumMod val="60000"/>
              </a:schemeClr>
            </a:solidFill>
            <a:ln>
              <a:noFill/>
            </a:ln>
            <a:effectLst/>
          </c:spPr>
          <c:invertIfNegative val="0"/>
          <c:cat>
            <c:numRef>
              <c:f>Foglio1!$A$2</c:f>
              <c:numCache>
                <c:formatCode>#,##0</c:formatCode>
                <c:ptCount val="1"/>
              </c:numCache>
            </c:numRef>
          </c:cat>
          <c:val>
            <c:numRef>
              <c:f>Foglio1!$H$2</c:f>
              <c:numCache>
                <c:formatCode>#,##0</c:formatCode>
                <c:ptCount val="1"/>
                <c:pt idx="0">
                  <c:v>16665</c:v>
                </c:pt>
              </c:numCache>
            </c:numRef>
          </c:val>
        </c:ser>
        <c:ser>
          <c:idx val="7"/>
          <c:order val="7"/>
          <c:tx>
            <c:strRef>
              <c:f>Foglio1!$I$1</c:f>
              <c:strCache>
                <c:ptCount val="1"/>
                <c:pt idx="0">
                  <c:v>Belgio</c:v>
                </c:pt>
              </c:strCache>
            </c:strRef>
          </c:tx>
          <c:spPr>
            <a:solidFill>
              <a:schemeClr val="accent2">
                <a:lumMod val="60000"/>
              </a:schemeClr>
            </a:solidFill>
            <a:ln>
              <a:noFill/>
            </a:ln>
            <a:effectLst/>
          </c:spPr>
          <c:invertIfNegative val="0"/>
          <c:cat>
            <c:numRef>
              <c:f>Foglio1!$A$2</c:f>
              <c:numCache>
                <c:formatCode>#,##0</c:formatCode>
                <c:ptCount val="1"/>
              </c:numCache>
            </c:numRef>
          </c:cat>
          <c:val>
            <c:numRef>
              <c:f>Foglio1!$I$2</c:f>
              <c:numCache>
                <c:formatCode>#,##0</c:formatCode>
                <c:ptCount val="1"/>
                <c:pt idx="0">
                  <c:v>11576</c:v>
                </c:pt>
              </c:numCache>
            </c:numRef>
          </c:val>
        </c:ser>
        <c:ser>
          <c:idx val="8"/>
          <c:order val="8"/>
          <c:tx>
            <c:strRef>
              <c:f>Foglio1!$J$1</c:f>
              <c:strCache>
                <c:ptCount val="1"/>
                <c:pt idx="0">
                  <c:v>Spagna</c:v>
                </c:pt>
              </c:strCache>
            </c:strRef>
          </c:tx>
          <c:spPr>
            <a:solidFill>
              <a:schemeClr val="accent3">
                <a:lumMod val="60000"/>
              </a:schemeClr>
            </a:solidFill>
            <a:ln>
              <a:noFill/>
            </a:ln>
            <a:effectLst/>
          </c:spPr>
          <c:invertIfNegative val="0"/>
          <c:cat>
            <c:numRef>
              <c:f>Foglio1!$A$2</c:f>
              <c:numCache>
                <c:formatCode>#,##0</c:formatCode>
                <c:ptCount val="1"/>
              </c:numCache>
            </c:numRef>
          </c:cat>
          <c:val>
            <c:numRef>
              <c:f>Foglio1!$J$2</c:f>
              <c:numCache>
                <c:formatCode>#,##0</c:formatCode>
                <c:ptCount val="1"/>
                <c:pt idx="0">
                  <c:v>8855</c:v>
                </c:pt>
              </c:numCache>
            </c:numRef>
          </c:val>
        </c:ser>
        <c:ser>
          <c:idx val="9"/>
          <c:order val="9"/>
          <c:tx>
            <c:strRef>
              <c:f>Foglio1!$K$1</c:f>
              <c:strCache>
                <c:ptCount val="1"/>
                <c:pt idx="0">
                  <c:v>Italia</c:v>
                </c:pt>
              </c:strCache>
            </c:strRef>
          </c:tx>
          <c:spPr>
            <a:solidFill>
              <a:schemeClr val="accent4">
                <a:lumMod val="60000"/>
              </a:schemeClr>
            </a:solidFill>
            <a:ln>
              <a:noFill/>
            </a:ln>
            <a:effectLst/>
          </c:spPr>
          <c:invertIfNegative val="0"/>
          <c:cat>
            <c:numRef>
              <c:f>Foglio1!$A$2</c:f>
              <c:numCache>
                <c:formatCode>#,##0</c:formatCode>
                <c:ptCount val="1"/>
              </c:numCache>
            </c:numRef>
          </c:cat>
          <c:val>
            <c:numRef>
              <c:f>Foglio1!$K$2</c:f>
              <c:numCache>
                <c:formatCode>#,##0</c:formatCode>
                <c:ptCount val="1"/>
                <c:pt idx="0">
                  <c:v>8403</c:v>
                </c:pt>
              </c:numCache>
            </c:numRef>
          </c:val>
        </c:ser>
        <c:dLbls>
          <c:showLegendKey val="0"/>
          <c:showVal val="0"/>
          <c:showCatName val="0"/>
          <c:showSerName val="0"/>
          <c:showPercent val="0"/>
          <c:showBubbleSize val="0"/>
        </c:dLbls>
        <c:gapWidth val="219"/>
        <c:overlap val="-27"/>
        <c:axId val="372046192"/>
        <c:axId val="372046752"/>
      </c:barChart>
      <c:catAx>
        <c:axId val="372046192"/>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72046752"/>
        <c:crosses val="autoZero"/>
        <c:auto val="1"/>
        <c:lblAlgn val="ctr"/>
        <c:lblOffset val="100"/>
        <c:noMultiLvlLbl val="0"/>
      </c:catAx>
      <c:valAx>
        <c:axId val="3720467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72046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it-IT"/>
              <a:t>Top</a:t>
            </a:r>
            <a:r>
              <a:rPr lang="it-IT" baseline="0"/>
              <a:t> 20 export 2015 </a:t>
            </a:r>
            <a:r>
              <a:rPr lang="it-IT"/>
              <a:t>(in milioni di £)</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Stati Uniti</c:v>
                </c:pt>
              </c:strCache>
            </c:strRef>
          </c:tx>
          <c:spPr>
            <a:solidFill>
              <a:schemeClr val="accent1"/>
            </a:solidFill>
            <a:ln>
              <a:noFill/>
            </a:ln>
            <a:effectLst/>
          </c:spPr>
          <c:invertIfNegative val="0"/>
          <c:cat>
            <c:numRef>
              <c:f>Foglio1!$A$2</c:f>
              <c:numCache>
                <c:formatCode>#,##0</c:formatCode>
                <c:ptCount val="1"/>
              </c:numCache>
            </c:numRef>
          </c:cat>
          <c:val>
            <c:numRef>
              <c:f>Foglio1!$B$2</c:f>
              <c:numCache>
                <c:formatCode>#,##0</c:formatCode>
                <c:ptCount val="1"/>
                <c:pt idx="0">
                  <c:v>45276</c:v>
                </c:pt>
              </c:numCache>
            </c:numRef>
          </c:val>
        </c:ser>
        <c:ser>
          <c:idx val="1"/>
          <c:order val="1"/>
          <c:tx>
            <c:strRef>
              <c:f>Foglio1!$C$1</c:f>
              <c:strCache>
                <c:ptCount val="1"/>
                <c:pt idx="0">
                  <c:v>Germania</c:v>
                </c:pt>
              </c:strCache>
            </c:strRef>
          </c:tx>
          <c:spPr>
            <a:solidFill>
              <a:schemeClr val="accent2"/>
            </a:solidFill>
            <a:ln>
              <a:noFill/>
            </a:ln>
            <a:effectLst/>
          </c:spPr>
          <c:invertIfNegative val="0"/>
          <c:cat>
            <c:numRef>
              <c:f>Foglio1!$A$2</c:f>
              <c:numCache>
                <c:formatCode>#,##0</c:formatCode>
                <c:ptCount val="1"/>
              </c:numCache>
            </c:numRef>
          </c:cat>
          <c:val>
            <c:numRef>
              <c:f>Foglio1!$C$2</c:f>
              <c:numCache>
                <c:formatCode>#,##0</c:formatCode>
                <c:ptCount val="1"/>
                <c:pt idx="0">
                  <c:v>30352</c:v>
                </c:pt>
              </c:numCache>
            </c:numRef>
          </c:val>
        </c:ser>
        <c:ser>
          <c:idx val="2"/>
          <c:order val="2"/>
          <c:tx>
            <c:strRef>
              <c:f>Foglio1!$D$1</c:f>
              <c:strCache>
                <c:ptCount val="1"/>
                <c:pt idx="0">
                  <c:v>Svizzera</c:v>
                </c:pt>
              </c:strCache>
            </c:strRef>
          </c:tx>
          <c:spPr>
            <a:solidFill>
              <a:schemeClr val="accent3"/>
            </a:solidFill>
            <a:ln>
              <a:noFill/>
            </a:ln>
            <a:effectLst/>
          </c:spPr>
          <c:invertIfNegative val="0"/>
          <c:cat>
            <c:numRef>
              <c:f>Foglio1!$A$2</c:f>
              <c:numCache>
                <c:formatCode>#,##0</c:formatCode>
                <c:ptCount val="1"/>
              </c:numCache>
            </c:numRef>
          </c:cat>
          <c:val>
            <c:numRef>
              <c:f>Foglio1!$D$2</c:f>
              <c:numCache>
                <c:formatCode>#,##0</c:formatCode>
                <c:ptCount val="1"/>
                <c:pt idx="0">
                  <c:v>22244</c:v>
                </c:pt>
              </c:numCache>
            </c:numRef>
          </c:val>
        </c:ser>
        <c:ser>
          <c:idx val="3"/>
          <c:order val="3"/>
          <c:tx>
            <c:strRef>
              <c:f>Foglio1!$E$1</c:f>
              <c:strCache>
                <c:ptCount val="1"/>
                <c:pt idx="0">
                  <c:v>China</c:v>
                </c:pt>
              </c:strCache>
            </c:strRef>
          </c:tx>
          <c:spPr>
            <a:solidFill>
              <a:schemeClr val="accent4"/>
            </a:solidFill>
            <a:ln>
              <a:noFill/>
            </a:ln>
            <a:effectLst/>
          </c:spPr>
          <c:invertIfNegative val="0"/>
          <c:cat>
            <c:numRef>
              <c:f>Foglio1!$A$2</c:f>
              <c:numCache>
                <c:formatCode>#,##0</c:formatCode>
                <c:ptCount val="1"/>
              </c:numCache>
            </c:numRef>
          </c:cat>
          <c:val>
            <c:numRef>
              <c:f>Foglio1!$E$2</c:f>
              <c:numCache>
                <c:formatCode>#,##0</c:formatCode>
                <c:ptCount val="1"/>
                <c:pt idx="0">
                  <c:v>18071</c:v>
                </c:pt>
              </c:numCache>
            </c:numRef>
          </c:val>
        </c:ser>
        <c:ser>
          <c:idx val="4"/>
          <c:order val="4"/>
          <c:tx>
            <c:strRef>
              <c:f>Foglio1!$F$1</c:f>
              <c:strCache>
                <c:ptCount val="1"/>
                <c:pt idx="0">
                  <c:v>Francia</c:v>
                </c:pt>
              </c:strCache>
            </c:strRef>
          </c:tx>
          <c:spPr>
            <a:solidFill>
              <a:schemeClr val="accent5"/>
            </a:solidFill>
            <a:ln>
              <a:noFill/>
            </a:ln>
            <a:effectLst/>
          </c:spPr>
          <c:invertIfNegative val="0"/>
          <c:cat>
            <c:numRef>
              <c:f>Foglio1!$A$2</c:f>
              <c:numCache>
                <c:formatCode>#,##0</c:formatCode>
                <c:ptCount val="1"/>
              </c:numCache>
            </c:numRef>
          </c:cat>
          <c:val>
            <c:numRef>
              <c:f>Foglio1!$F$2</c:f>
              <c:numCache>
                <c:formatCode>#,##0</c:formatCode>
                <c:ptCount val="1"/>
                <c:pt idx="0">
                  <c:v>17830</c:v>
                </c:pt>
              </c:numCache>
            </c:numRef>
          </c:val>
        </c:ser>
        <c:ser>
          <c:idx val="5"/>
          <c:order val="5"/>
          <c:tx>
            <c:strRef>
              <c:f>Foglio1!$G$1</c:f>
              <c:strCache>
                <c:ptCount val="1"/>
                <c:pt idx="0">
                  <c:v>Paesi Bassi</c:v>
                </c:pt>
              </c:strCache>
            </c:strRef>
          </c:tx>
          <c:spPr>
            <a:solidFill>
              <a:schemeClr val="accent6"/>
            </a:solidFill>
            <a:ln>
              <a:noFill/>
            </a:ln>
            <a:effectLst/>
          </c:spPr>
          <c:invertIfNegative val="0"/>
          <c:cat>
            <c:numRef>
              <c:f>Foglio1!$A$2</c:f>
              <c:numCache>
                <c:formatCode>#,##0</c:formatCode>
                <c:ptCount val="1"/>
              </c:numCache>
            </c:numRef>
          </c:cat>
          <c:val>
            <c:numRef>
              <c:f>Foglio1!$G$2</c:f>
              <c:numCache>
                <c:formatCode>#,##0</c:formatCode>
                <c:ptCount val="1"/>
                <c:pt idx="0">
                  <c:v>17338</c:v>
                </c:pt>
              </c:numCache>
            </c:numRef>
          </c:val>
        </c:ser>
        <c:ser>
          <c:idx val="6"/>
          <c:order val="6"/>
          <c:tx>
            <c:strRef>
              <c:f>Foglio1!$H$1</c:f>
              <c:strCache>
                <c:ptCount val="1"/>
                <c:pt idx="0">
                  <c:v>Repubblica Irlandese</c:v>
                </c:pt>
              </c:strCache>
            </c:strRef>
          </c:tx>
          <c:spPr>
            <a:solidFill>
              <a:schemeClr val="accent1">
                <a:lumMod val="60000"/>
              </a:schemeClr>
            </a:solidFill>
            <a:ln>
              <a:noFill/>
            </a:ln>
            <a:effectLst/>
          </c:spPr>
          <c:invertIfNegative val="0"/>
          <c:cat>
            <c:numRef>
              <c:f>Foglio1!$A$2</c:f>
              <c:numCache>
                <c:formatCode>#,##0</c:formatCode>
                <c:ptCount val="1"/>
              </c:numCache>
            </c:numRef>
          </c:cat>
          <c:val>
            <c:numRef>
              <c:f>Foglio1!$H$2</c:f>
              <c:numCache>
                <c:formatCode>#,##0</c:formatCode>
                <c:ptCount val="1"/>
                <c:pt idx="0">
                  <c:v>16665</c:v>
                </c:pt>
              </c:numCache>
            </c:numRef>
          </c:val>
        </c:ser>
        <c:ser>
          <c:idx val="7"/>
          <c:order val="7"/>
          <c:tx>
            <c:strRef>
              <c:f>Foglio1!$I$1</c:f>
              <c:strCache>
                <c:ptCount val="1"/>
                <c:pt idx="0">
                  <c:v>Belgio</c:v>
                </c:pt>
              </c:strCache>
            </c:strRef>
          </c:tx>
          <c:spPr>
            <a:solidFill>
              <a:schemeClr val="accent2">
                <a:lumMod val="60000"/>
              </a:schemeClr>
            </a:solidFill>
            <a:ln>
              <a:noFill/>
            </a:ln>
            <a:effectLst/>
          </c:spPr>
          <c:invertIfNegative val="0"/>
          <c:cat>
            <c:numRef>
              <c:f>Foglio1!$A$2</c:f>
              <c:numCache>
                <c:formatCode>#,##0</c:formatCode>
                <c:ptCount val="1"/>
              </c:numCache>
            </c:numRef>
          </c:cat>
          <c:val>
            <c:numRef>
              <c:f>Foglio1!$I$2</c:f>
              <c:numCache>
                <c:formatCode>#,##0</c:formatCode>
                <c:ptCount val="1"/>
                <c:pt idx="0">
                  <c:v>11576</c:v>
                </c:pt>
              </c:numCache>
            </c:numRef>
          </c:val>
        </c:ser>
        <c:ser>
          <c:idx val="8"/>
          <c:order val="8"/>
          <c:tx>
            <c:strRef>
              <c:f>Foglio1!$J$1</c:f>
              <c:strCache>
                <c:ptCount val="1"/>
                <c:pt idx="0">
                  <c:v>Spagna</c:v>
                </c:pt>
              </c:strCache>
            </c:strRef>
          </c:tx>
          <c:spPr>
            <a:solidFill>
              <a:schemeClr val="accent3">
                <a:lumMod val="60000"/>
              </a:schemeClr>
            </a:solidFill>
            <a:ln>
              <a:noFill/>
            </a:ln>
            <a:effectLst/>
          </c:spPr>
          <c:invertIfNegative val="0"/>
          <c:cat>
            <c:numRef>
              <c:f>Foglio1!$A$2</c:f>
              <c:numCache>
                <c:formatCode>#,##0</c:formatCode>
                <c:ptCount val="1"/>
              </c:numCache>
            </c:numRef>
          </c:cat>
          <c:val>
            <c:numRef>
              <c:f>Foglio1!$J$2</c:f>
              <c:numCache>
                <c:formatCode>#,##0</c:formatCode>
                <c:ptCount val="1"/>
                <c:pt idx="0">
                  <c:v>8855</c:v>
                </c:pt>
              </c:numCache>
            </c:numRef>
          </c:val>
        </c:ser>
        <c:ser>
          <c:idx val="9"/>
          <c:order val="9"/>
          <c:tx>
            <c:strRef>
              <c:f>Foglio1!$K$1</c:f>
              <c:strCache>
                <c:ptCount val="1"/>
                <c:pt idx="0">
                  <c:v>Italia</c:v>
                </c:pt>
              </c:strCache>
            </c:strRef>
          </c:tx>
          <c:spPr>
            <a:solidFill>
              <a:schemeClr val="accent4">
                <a:lumMod val="60000"/>
              </a:schemeClr>
            </a:solidFill>
            <a:ln>
              <a:noFill/>
            </a:ln>
            <a:effectLst/>
          </c:spPr>
          <c:invertIfNegative val="0"/>
          <c:cat>
            <c:numRef>
              <c:f>Foglio1!$A$2</c:f>
              <c:numCache>
                <c:formatCode>#,##0</c:formatCode>
                <c:ptCount val="1"/>
              </c:numCache>
            </c:numRef>
          </c:cat>
          <c:val>
            <c:numRef>
              <c:f>Foglio1!$K$2</c:f>
              <c:numCache>
                <c:formatCode>#,##0</c:formatCode>
                <c:ptCount val="1"/>
                <c:pt idx="0">
                  <c:v>8403</c:v>
                </c:pt>
              </c:numCache>
            </c:numRef>
          </c:val>
        </c:ser>
        <c:dLbls>
          <c:showLegendKey val="0"/>
          <c:showVal val="0"/>
          <c:showCatName val="0"/>
          <c:showSerName val="0"/>
          <c:showPercent val="0"/>
          <c:showBubbleSize val="0"/>
        </c:dLbls>
        <c:gapWidth val="219"/>
        <c:overlap val="-27"/>
        <c:axId val="566127088"/>
        <c:axId val="566127648"/>
      </c:barChart>
      <c:catAx>
        <c:axId val="566127088"/>
        <c:scaling>
          <c:orientation val="minMax"/>
        </c:scaling>
        <c:delete val="0"/>
        <c:axPos val="b"/>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66127648"/>
        <c:crosses val="autoZero"/>
        <c:auto val="1"/>
        <c:lblAlgn val="ctr"/>
        <c:lblOffset val="100"/>
        <c:noMultiLvlLbl val="0"/>
      </c:catAx>
      <c:valAx>
        <c:axId val="5661276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6612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noFill/>
      <a:round/>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Andamento trimestrale del</a:t>
            </a:r>
            <a:r>
              <a:rPr lang="en-US" baseline="0"/>
              <a:t> conto corrente inglese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Saldo (milioni di £)</c:v>
                </c:pt>
              </c:strCache>
            </c:strRef>
          </c:tx>
          <c:spPr>
            <a:ln w="28575" cap="rnd">
              <a:solidFill>
                <a:schemeClr val="accent1"/>
              </a:solidFill>
              <a:round/>
            </a:ln>
            <a:effectLst/>
          </c:spPr>
          <c:marker>
            <c:symbol val="none"/>
          </c:marker>
          <c:cat>
            <c:strRef>
              <c:f>Foglio1!$A$2:$A$24</c:f>
              <c:strCache>
                <c:ptCount val="23"/>
                <c:pt idx="0">
                  <c:v>2011 Q1</c:v>
                </c:pt>
                <c:pt idx="1">
                  <c:v>2011 Q2</c:v>
                </c:pt>
                <c:pt idx="2">
                  <c:v>2011 Q3</c:v>
                </c:pt>
                <c:pt idx="3">
                  <c:v>2011 Q4</c:v>
                </c:pt>
                <c:pt idx="4">
                  <c:v>2012 Q1</c:v>
                </c:pt>
                <c:pt idx="5">
                  <c:v>2012 Q2</c:v>
                </c:pt>
                <c:pt idx="6">
                  <c:v>2012 Q3</c:v>
                </c:pt>
                <c:pt idx="7">
                  <c:v>2012 Q4</c:v>
                </c:pt>
                <c:pt idx="8">
                  <c:v>2013 Q1</c:v>
                </c:pt>
                <c:pt idx="9">
                  <c:v>2013 Q2</c:v>
                </c:pt>
                <c:pt idx="10">
                  <c:v>2013 Q3</c:v>
                </c:pt>
                <c:pt idx="11">
                  <c:v>2013 Q4</c:v>
                </c:pt>
                <c:pt idx="12">
                  <c:v>2014 Q1</c:v>
                </c:pt>
                <c:pt idx="13">
                  <c:v>2014 Q2</c:v>
                </c:pt>
                <c:pt idx="14">
                  <c:v>2014 Q3</c:v>
                </c:pt>
                <c:pt idx="15">
                  <c:v>2014 Q4</c:v>
                </c:pt>
                <c:pt idx="16">
                  <c:v>2015 Q1</c:v>
                </c:pt>
                <c:pt idx="17">
                  <c:v>2015 Q2</c:v>
                </c:pt>
                <c:pt idx="18">
                  <c:v>2015 Q3</c:v>
                </c:pt>
                <c:pt idx="19">
                  <c:v>2015 Q4</c:v>
                </c:pt>
                <c:pt idx="20">
                  <c:v>2016 Q1</c:v>
                </c:pt>
                <c:pt idx="21">
                  <c:v>2016 Q2</c:v>
                </c:pt>
                <c:pt idx="22">
                  <c:v>2016 Q3</c:v>
                </c:pt>
              </c:strCache>
            </c:strRef>
          </c:cat>
          <c:val>
            <c:numRef>
              <c:f>Foglio1!$B$2:$B$24</c:f>
              <c:numCache>
                <c:formatCode>General</c:formatCode>
                <c:ptCount val="23"/>
                <c:pt idx="0">
                  <c:v>-4155</c:v>
                </c:pt>
                <c:pt idx="1">
                  <c:v>-664</c:v>
                </c:pt>
                <c:pt idx="2">
                  <c:v>-12213</c:v>
                </c:pt>
                <c:pt idx="3">
                  <c:v>-12056</c:v>
                </c:pt>
                <c:pt idx="4">
                  <c:v>-11407</c:v>
                </c:pt>
                <c:pt idx="5">
                  <c:v>-16858</c:v>
                </c:pt>
                <c:pt idx="6">
                  <c:v>-14997</c:v>
                </c:pt>
                <c:pt idx="7">
                  <c:v>-18171</c:v>
                </c:pt>
                <c:pt idx="8">
                  <c:v>-15845</c:v>
                </c:pt>
                <c:pt idx="9">
                  <c:v>-13886</c:v>
                </c:pt>
                <c:pt idx="10">
                  <c:v>-20413</c:v>
                </c:pt>
                <c:pt idx="11">
                  <c:v>-26298</c:v>
                </c:pt>
                <c:pt idx="12">
                  <c:v>-21104</c:v>
                </c:pt>
                <c:pt idx="13">
                  <c:v>-17721</c:v>
                </c:pt>
                <c:pt idx="14">
                  <c:v>-21328</c:v>
                </c:pt>
                <c:pt idx="15">
                  <c:v>-24845</c:v>
                </c:pt>
                <c:pt idx="16">
                  <c:v>-21189</c:v>
                </c:pt>
                <c:pt idx="17">
                  <c:v>-17115</c:v>
                </c:pt>
                <c:pt idx="18">
                  <c:v>-16082</c:v>
                </c:pt>
                <c:pt idx="19">
                  <c:v>-25847</c:v>
                </c:pt>
                <c:pt idx="20">
                  <c:v>-23612</c:v>
                </c:pt>
                <c:pt idx="21">
                  <c:v>-22079</c:v>
                </c:pt>
                <c:pt idx="22">
                  <c:v>-25494</c:v>
                </c:pt>
              </c:numCache>
            </c:numRef>
          </c:val>
          <c:smooth val="0"/>
        </c:ser>
        <c:dLbls>
          <c:showLegendKey val="0"/>
          <c:showVal val="0"/>
          <c:showCatName val="0"/>
          <c:showSerName val="0"/>
          <c:showPercent val="0"/>
          <c:showBubbleSize val="0"/>
        </c:dLbls>
        <c:smooth val="0"/>
        <c:axId val="464312496"/>
        <c:axId val="464313056"/>
      </c:lineChart>
      <c:catAx>
        <c:axId val="46431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4313056"/>
        <c:crosses val="autoZero"/>
        <c:auto val="1"/>
        <c:lblAlgn val="ctr"/>
        <c:lblOffset val="100"/>
        <c:noMultiLvlLbl val="0"/>
      </c:catAx>
      <c:valAx>
        <c:axId val="46431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4312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it-IT"/>
    </a:p>
  </c:txPr>
  <c:externalData r:id="rId3">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Andamento trimestrale del</a:t>
            </a:r>
            <a:r>
              <a:rPr lang="en-US" baseline="0"/>
              <a:t> conto corrente inglese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Saldo (milioni di £)</c:v>
                </c:pt>
              </c:strCache>
            </c:strRef>
          </c:tx>
          <c:spPr>
            <a:ln w="28575" cap="rnd">
              <a:solidFill>
                <a:schemeClr val="accent1"/>
              </a:solidFill>
              <a:round/>
            </a:ln>
            <a:effectLst/>
          </c:spPr>
          <c:marker>
            <c:symbol val="none"/>
          </c:marker>
          <c:cat>
            <c:strRef>
              <c:f>Foglio1!$A$2:$A$24</c:f>
              <c:strCache>
                <c:ptCount val="23"/>
                <c:pt idx="0">
                  <c:v>2011 Q1</c:v>
                </c:pt>
                <c:pt idx="1">
                  <c:v>2011 Q2</c:v>
                </c:pt>
                <c:pt idx="2">
                  <c:v>2011 Q3</c:v>
                </c:pt>
                <c:pt idx="3">
                  <c:v>2011 Q4</c:v>
                </c:pt>
                <c:pt idx="4">
                  <c:v>2012 Q1</c:v>
                </c:pt>
                <c:pt idx="5">
                  <c:v>2012 Q2</c:v>
                </c:pt>
                <c:pt idx="6">
                  <c:v>2012 Q3</c:v>
                </c:pt>
                <c:pt idx="7">
                  <c:v>2012 Q4</c:v>
                </c:pt>
                <c:pt idx="8">
                  <c:v>2013 Q1</c:v>
                </c:pt>
                <c:pt idx="9">
                  <c:v>2013 Q2</c:v>
                </c:pt>
                <c:pt idx="10">
                  <c:v>2013 Q3</c:v>
                </c:pt>
                <c:pt idx="11">
                  <c:v>2013 Q4</c:v>
                </c:pt>
                <c:pt idx="12">
                  <c:v>2014 Q1</c:v>
                </c:pt>
                <c:pt idx="13">
                  <c:v>2014 Q2</c:v>
                </c:pt>
                <c:pt idx="14">
                  <c:v>2014 Q3</c:v>
                </c:pt>
                <c:pt idx="15">
                  <c:v>2014 Q4</c:v>
                </c:pt>
                <c:pt idx="16">
                  <c:v>2015 Q1</c:v>
                </c:pt>
                <c:pt idx="17">
                  <c:v>2015 Q2</c:v>
                </c:pt>
                <c:pt idx="18">
                  <c:v>2015 Q3</c:v>
                </c:pt>
                <c:pt idx="19">
                  <c:v>2015 Q4</c:v>
                </c:pt>
                <c:pt idx="20">
                  <c:v>2016 Q1</c:v>
                </c:pt>
                <c:pt idx="21">
                  <c:v>2016 Q2</c:v>
                </c:pt>
                <c:pt idx="22">
                  <c:v>2016 Q3</c:v>
                </c:pt>
              </c:strCache>
            </c:strRef>
          </c:cat>
          <c:val>
            <c:numRef>
              <c:f>Foglio1!$B$2:$B$24</c:f>
              <c:numCache>
                <c:formatCode>General</c:formatCode>
                <c:ptCount val="23"/>
                <c:pt idx="0">
                  <c:v>-4155</c:v>
                </c:pt>
                <c:pt idx="1">
                  <c:v>-664</c:v>
                </c:pt>
                <c:pt idx="2">
                  <c:v>-12213</c:v>
                </c:pt>
                <c:pt idx="3">
                  <c:v>-12056</c:v>
                </c:pt>
                <c:pt idx="4">
                  <c:v>-11407</c:v>
                </c:pt>
                <c:pt idx="5">
                  <c:v>-16858</c:v>
                </c:pt>
                <c:pt idx="6">
                  <c:v>-14997</c:v>
                </c:pt>
                <c:pt idx="7">
                  <c:v>-18171</c:v>
                </c:pt>
                <c:pt idx="8">
                  <c:v>-15845</c:v>
                </c:pt>
                <c:pt idx="9">
                  <c:v>-13886</c:v>
                </c:pt>
                <c:pt idx="10">
                  <c:v>-20413</c:v>
                </c:pt>
                <c:pt idx="11">
                  <c:v>-26298</c:v>
                </c:pt>
                <c:pt idx="12">
                  <c:v>-21104</c:v>
                </c:pt>
                <c:pt idx="13">
                  <c:v>-17721</c:v>
                </c:pt>
                <c:pt idx="14">
                  <c:v>-21328</c:v>
                </c:pt>
                <c:pt idx="15">
                  <c:v>-24845</c:v>
                </c:pt>
                <c:pt idx="16">
                  <c:v>-21189</c:v>
                </c:pt>
                <c:pt idx="17">
                  <c:v>-17115</c:v>
                </c:pt>
                <c:pt idx="18">
                  <c:v>-16082</c:v>
                </c:pt>
                <c:pt idx="19">
                  <c:v>-25847</c:v>
                </c:pt>
                <c:pt idx="20">
                  <c:v>-23612</c:v>
                </c:pt>
                <c:pt idx="21">
                  <c:v>-22079</c:v>
                </c:pt>
                <c:pt idx="22">
                  <c:v>-25494</c:v>
                </c:pt>
              </c:numCache>
            </c:numRef>
          </c:val>
          <c:smooth val="0"/>
        </c:ser>
        <c:dLbls>
          <c:showLegendKey val="0"/>
          <c:showVal val="0"/>
          <c:showCatName val="0"/>
          <c:showSerName val="0"/>
          <c:showPercent val="0"/>
          <c:showBubbleSize val="0"/>
        </c:dLbls>
        <c:smooth val="0"/>
        <c:axId val="566130448"/>
        <c:axId val="566131008"/>
      </c:lineChart>
      <c:catAx>
        <c:axId val="566130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66131008"/>
        <c:crosses val="autoZero"/>
        <c:auto val="1"/>
        <c:lblAlgn val="ctr"/>
        <c:lblOffset val="100"/>
        <c:noMultiLvlLbl val="0"/>
      </c:catAx>
      <c:valAx>
        <c:axId val="566131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66130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Rapporto tra disoccupazione</a:t>
            </a:r>
            <a:r>
              <a:rPr lang="en-US" baseline="0"/>
              <a:t> e inflazione </a:t>
            </a:r>
            <a:r>
              <a:rPr lang="en-US"/>
              <a:t>Gran Bretagna (2005-2016)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lineMarker"/>
        <c:varyColors val="0"/>
        <c:ser>
          <c:idx val="0"/>
          <c:order val="0"/>
          <c:tx>
            <c:strRef>
              <c:f>Foglio1!$B$1</c:f>
              <c:strCache>
                <c:ptCount val="1"/>
                <c:pt idx="0">
                  <c:v>Inflazione media annua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tx>
                <c:rich>
                  <a:bodyPr/>
                  <a:lstStyle/>
                  <a:p>
                    <a:r>
                      <a:rPr lang="en-US"/>
                      <a:t>2005</a:t>
                    </a:r>
                  </a:p>
                </c:rich>
              </c:tx>
              <c:showLegendKey val="0"/>
              <c:showVal val="1"/>
              <c:showCatName val="0"/>
              <c:showSerName val="0"/>
              <c:showPercent val="0"/>
              <c:showBubbleSize val="0"/>
              <c:extLst>
                <c:ext xmlns:c15="http://schemas.microsoft.com/office/drawing/2012/chart" uri="{CE6537A1-D6FC-4f65-9D91-7224C49458BB}"/>
              </c:extLst>
            </c:dLbl>
            <c:dLbl>
              <c:idx val="1"/>
              <c:tx>
                <c:rich>
                  <a:bodyPr/>
                  <a:lstStyle/>
                  <a:p>
                    <a:r>
                      <a:rPr lang="en-US"/>
                      <a:t>2006</a:t>
                    </a:r>
                  </a:p>
                </c:rich>
              </c:tx>
              <c:showLegendKey val="0"/>
              <c:showVal val="1"/>
              <c:showCatName val="0"/>
              <c:showSerName val="0"/>
              <c:showPercent val="0"/>
              <c:showBubbleSize val="0"/>
              <c:extLst>
                <c:ext xmlns:c15="http://schemas.microsoft.com/office/drawing/2012/chart" uri="{CE6537A1-D6FC-4f65-9D91-7224C49458BB}"/>
              </c:extLst>
            </c:dLbl>
            <c:dLbl>
              <c:idx val="2"/>
              <c:layout>
                <c:manualLayout>
                  <c:x val="0"/>
                  <c:y val="-3.0534351145038167E-2"/>
                </c:manualLayout>
              </c:layout>
              <c:tx>
                <c:rich>
                  <a:bodyPr/>
                  <a:lstStyle/>
                  <a:p>
                    <a:r>
                      <a:rPr lang="en-US"/>
                      <a:t>2007</a:t>
                    </a:r>
                  </a:p>
                </c:rich>
              </c:tx>
              <c:showLegendKey val="0"/>
              <c:showVal val="1"/>
              <c:showCatName val="0"/>
              <c:showSerName val="0"/>
              <c:showPercent val="0"/>
              <c:showBubbleSize val="0"/>
              <c:extLst>
                <c:ext xmlns:c15="http://schemas.microsoft.com/office/drawing/2012/chart" uri="{CE6537A1-D6FC-4f65-9D91-7224C49458BB}"/>
              </c:extLst>
            </c:dLbl>
            <c:dLbl>
              <c:idx val="3"/>
              <c:tx>
                <c:rich>
                  <a:bodyPr/>
                  <a:lstStyle/>
                  <a:p>
                    <a:r>
                      <a:rPr lang="en-US"/>
                      <a:t>2008</a:t>
                    </a:r>
                  </a:p>
                </c:rich>
              </c:tx>
              <c:showLegendKey val="0"/>
              <c:showVal val="1"/>
              <c:showCatName val="0"/>
              <c:showSerName val="0"/>
              <c:showPercent val="0"/>
              <c:showBubbleSize val="0"/>
              <c:extLst>
                <c:ext xmlns:c15="http://schemas.microsoft.com/office/drawing/2012/chart" uri="{CE6537A1-D6FC-4f65-9D91-7224C49458BB}"/>
              </c:extLst>
            </c:dLbl>
            <c:dLbl>
              <c:idx val="4"/>
              <c:tx>
                <c:rich>
                  <a:bodyPr/>
                  <a:lstStyle/>
                  <a:p>
                    <a:r>
                      <a:rPr lang="en-US"/>
                      <a:t>2009</a:t>
                    </a:r>
                  </a:p>
                </c:rich>
              </c:tx>
              <c:showLegendKey val="0"/>
              <c:showVal val="1"/>
              <c:showCatName val="0"/>
              <c:showSerName val="0"/>
              <c:showPercent val="0"/>
              <c:showBubbleSize val="0"/>
              <c:extLst>
                <c:ext xmlns:c15="http://schemas.microsoft.com/office/drawing/2012/chart" uri="{CE6537A1-D6FC-4f65-9D91-7224C49458BB}"/>
              </c:extLst>
            </c:dLbl>
            <c:dLbl>
              <c:idx val="5"/>
              <c:tx>
                <c:rich>
                  <a:bodyPr/>
                  <a:lstStyle/>
                  <a:p>
                    <a:r>
                      <a:rPr lang="en-US"/>
                      <a:t>2010</a:t>
                    </a:r>
                  </a:p>
                </c:rich>
              </c:tx>
              <c:showLegendKey val="0"/>
              <c:showVal val="1"/>
              <c:showCatName val="0"/>
              <c:showSerName val="0"/>
              <c:showPercent val="0"/>
              <c:showBubbleSize val="0"/>
              <c:extLst>
                <c:ext xmlns:c15="http://schemas.microsoft.com/office/drawing/2012/chart" uri="{CE6537A1-D6FC-4f65-9D91-7224C49458BB}"/>
              </c:extLst>
            </c:dLbl>
            <c:dLbl>
              <c:idx val="6"/>
              <c:tx>
                <c:rich>
                  <a:bodyPr/>
                  <a:lstStyle/>
                  <a:p>
                    <a:r>
                      <a:rPr lang="en-US"/>
                      <a:t>2011</a:t>
                    </a:r>
                  </a:p>
                </c:rich>
              </c:tx>
              <c:showLegendKey val="0"/>
              <c:showVal val="1"/>
              <c:showCatName val="0"/>
              <c:showSerName val="0"/>
              <c:showPercent val="0"/>
              <c:showBubbleSize val="0"/>
              <c:extLst>
                <c:ext xmlns:c15="http://schemas.microsoft.com/office/drawing/2012/chart" uri="{CE6537A1-D6FC-4f65-9D91-7224C49458BB}"/>
              </c:extLst>
            </c:dLbl>
            <c:dLbl>
              <c:idx val="7"/>
              <c:tx>
                <c:rich>
                  <a:bodyPr/>
                  <a:lstStyle/>
                  <a:p>
                    <a:r>
                      <a:rPr lang="en-US"/>
                      <a:t>2012</a:t>
                    </a:r>
                  </a:p>
                </c:rich>
              </c:tx>
              <c:showLegendKey val="0"/>
              <c:showVal val="1"/>
              <c:showCatName val="0"/>
              <c:showSerName val="0"/>
              <c:showPercent val="0"/>
              <c:showBubbleSize val="0"/>
              <c:extLst>
                <c:ext xmlns:c15="http://schemas.microsoft.com/office/drawing/2012/chart" uri="{CE6537A1-D6FC-4f65-9D91-7224C49458BB}"/>
              </c:extLst>
            </c:dLbl>
            <c:dLbl>
              <c:idx val="8"/>
              <c:tx>
                <c:rich>
                  <a:bodyPr/>
                  <a:lstStyle/>
                  <a:p>
                    <a:r>
                      <a:rPr lang="en-US"/>
                      <a:t>2013</a:t>
                    </a:r>
                  </a:p>
                </c:rich>
              </c:tx>
              <c:showLegendKey val="0"/>
              <c:showVal val="1"/>
              <c:showCatName val="0"/>
              <c:showSerName val="0"/>
              <c:showPercent val="0"/>
              <c:showBubbleSize val="0"/>
              <c:extLst>
                <c:ext xmlns:c15="http://schemas.microsoft.com/office/drawing/2012/chart" uri="{CE6537A1-D6FC-4f65-9D91-7224C49458BB}"/>
              </c:extLst>
            </c:dLbl>
            <c:dLbl>
              <c:idx val="9"/>
              <c:tx>
                <c:rich>
                  <a:bodyPr/>
                  <a:lstStyle/>
                  <a:p>
                    <a:r>
                      <a:rPr lang="en-US"/>
                      <a:t>2014</a:t>
                    </a:r>
                  </a:p>
                </c:rich>
              </c:tx>
              <c:showLegendKey val="0"/>
              <c:showVal val="1"/>
              <c:showCatName val="0"/>
              <c:showSerName val="0"/>
              <c:showPercent val="0"/>
              <c:showBubbleSize val="0"/>
              <c:extLst>
                <c:ext xmlns:c15="http://schemas.microsoft.com/office/drawing/2012/chart" uri="{CE6537A1-D6FC-4f65-9D91-7224C49458BB}"/>
              </c:extLst>
            </c:dLbl>
            <c:dLbl>
              <c:idx val="10"/>
              <c:tx>
                <c:rich>
                  <a:bodyPr/>
                  <a:lstStyle/>
                  <a:p>
                    <a:r>
                      <a:rPr lang="en-US"/>
                      <a:t>2015</a:t>
                    </a:r>
                  </a:p>
                </c:rich>
              </c:tx>
              <c:showLegendKey val="0"/>
              <c:showVal val="1"/>
              <c:showCatName val="0"/>
              <c:showSerName val="0"/>
              <c:showPercent val="0"/>
              <c:showBubbleSize val="0"/>
              <c:extLst>
                <c:ext xmlns:c15="http://schemas.microsoft.com/office/drawing/2012/chart" uri="{CE6537A1-D6FC-4f65-9D91-7224C49458BB}"/>
              </c:extLst>
            </c:dLbl>
            <c:dLbl>
              <c:idx val="11"/>
              <c:tx>
                <c:rich>
                  <a:bodyPr/>
                  <a:lstStyle/>
                  <a:p>
                    <a:r>
                      <a:rPr lang="en-US"/>
                      <a:t>2016</a:t>
                    </a:r>
                  </a:p>
                </c:rich>
              </c:tx>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Foglio1!$A$2:$A$13</c:f>
              <c:numCache>
                <c:formatCode>General</c:formatCode>
                <c:ptCount val="12"/>
                <c:pt idx="0">
                  <c:v>4.8</c:v>
                </c:pt>
                <c:pt idx="1">
                  <c:v>5.4</c:v>
                </c:pt>
                <c:pt idx="2">
                  <c:v>5.3</c:v>
                </c:pt>
                <c:pt idx="3">
                  <c:v>5.6</c:v>
                </c:pt>
                <c:pt idx="4">
                  <c:v>7.6</c:v>
                </c:pt>
                <c:pt idx="5">
                  <c:v>7.8</c:v>
                </c:pt>
                <c:pt idx="6">
                  <c:v>8.1</c:v>
                </c:pt>
                <c:pt idx="7">
                  <c:v>7.9</c:v>
                </c:pt>
                <c:pt idx="8">
                  <c:v>7.6</c:v>
                </c:pt>
                <c:pt idx="9">
                  <c:v>6.1</c:v>
                </c:pt>
                <c:pt idx="10">
                  <c:v>5.3</c:v>
                </c:pt>
                <c:pt idx="11">
                  <c:v>5</c:v>
                </c:pt>
              </c:numCache>
            </c:numRef>
          </c:xVal>
          <c:yVal>
            <c:numRef>
              <c:f>Foglio1!$B$2:$B$13</c:f>
              <c:numCache>
                <c:formatCode>General</c:formatCode>
                <c:ptCount val="12"/>
                <c:pt idx="0">
                  <c:v>2.0499999999999998</c:v>
                </c:pt>
                <c:pt idx="1">
                  <c:v>2.33</c:v>
                </c:pt>
                <c:pt idx="2">
                  <c:v>2.3199999999999998</c:v>
                </c:pt>
                <c:pt idx="3">
                  <c:v>3.61</c:v>
                </c:pt>
                <c:pt idx="4">
                  <c:v>2.17</c:v>
                </c:pt>
                <c:pt idx="5">
                  <c:v>3.29</c:v>
                </c:pt>
                <c:pt idx="6">
                  <c:v>4.4800000000000004</c:v>
                </c:pt>
                <c:pt idx="7">
                  <c:v>2.83</c:v>
                </c:pt>
                <c:pt idx="8">
                  <c:v>2.5299999999999998</c:v>
                </c:pt>
                <c:pt idx="9">
                  <c:v>1.47</c:v>
                </c:pt>
                <c:pt idx="10">
                  <c:v>0.05</c:v>
                </c:pt>
                <c:pt idx="11">
                  <c:v>0.64</c:v>
                </c:pt>
              </c:numCache>
            </c:numRef>
          </c:yVal>
          <c:smooth val="0"/>
        </c:ser>
        <c:dLbls>
          <c:showLegendKey val="0"/>
          <c:showVal val="0"/>
          <c:showCatName val="0"/>
          <c:showSerName val="0"/>
          <c:showPercent val="0"/>
          <c:showBubbleSize val="0"/>
        </c:dLbls>
        <c:axId val="464314736"/>
        <c:axId val="462343952"/>
      </c:scatterChart>
      <c:valAx>
        <c:axId val="464314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2343952"/>
        <c:crosses val="autoZero"/>
        <c:crossBetween val="midCat"/>
      </c:valAx>
      <c:valAx>
        <c:axId val="46234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4314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it-IT"/>
    </a:p>
  </c:txPr>
  <c:externalData r:id="rId3">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Rapporto tra disoccupazione</a:t>
            </a:r>
            <a:r>
              <a:rPr lang="en-US" baseline="0"/>
              <a:t> e inflazione </a:t>
            </a:r>
            <a:r>
              <a:rPr lang="en-US"/>
              <a:t>Gran Bretagna (2005-2016)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lineMarker"/>
        <c:varyColors val="0"/>
        <c:ser>
          <c:idx val="0"/>
          <c:order val="0"/>
          <c:tx>
            <c:strRef>
              <c:f>Foglio1!$B$1</c:f>
              <c:strCache>
                <c:ptCount val="1"/>
                <c:pt idx="0">
                  <c:v>Inflazione media annua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tx>
                <c:rich>
                  <a:bodyPr/>
                  <a:lstStyle/>
                  <a:p>
                    <a:r>
                      <a:rPr lang="en-US"/>
                      <a:t>2005</a:t>
                    </a:r>
                  </a:p>
                </c:rich>
              </c:tx>
              <c:showLegendKey val="0"/>
              <c:showVal val="1"/>
              <c:showCatName val="0"/>
              <c:showSerName val="0"/>
              <c:showPercent val="0"/>
              <c:showBubbleSize val="0"/>
              <c:extLst>
                <c:ext xmlns:c15="http://schemas.microsoft.com/office/drawing/2012/chart" uri="{CE6537A1-D6FC-4f65-9D91-7224C49458BB}"/>
              </c:extLst>
            </c:dLbl>
            <c:dLbl>
              <c:idx val="1"/>
              <c:tx>
                <c:rich>
                  <a:bodyPr/>
                  <a:lstStyle/>
                  <a:p>
                    <a:r>
                      <a:rPr lang="en-US"/>
                      <a:t>2006</a:t>
                    </a:r>
                  </a:p>
                </c:rich>
              </c:tx>
              <c:showLegendKey val="0"/>
              <c:showVal val="1"/>
              <c:showCatName val="0"/>
              <c:showSerName val="0"/>
              <c:showPercent val="0"/>
              <c:showBubbleSize val="0"/>
              <c:extLst>
                <c:ext xmlns:c15="http://schemas.microsoft.com/office/drawing/2012/chart" uri="{CE6537A1-D6FC-4f65-9D91-7224C49458BB}"/>
              </c:extLst>
            </c:dLbl>
            <c:dLbl>
              <c:idx val="2"/>
              <c:layout>
                <c:manualLayout>
                  <c:x val="0"/>
                  <c:y val="-3.0534351145038167E-2"/>
                </c:manualLayout>
              </c:layout>
              <c:tx>
                <c:rich>
                  <a:bodyPr/>
                  <a:lstStyle/>
                  <a:p>
                    <a:r>
                      <a:rPr lang="en-US"/>
                      <a:t>2007</a:t>
                    </a:r>
                  </a:p>
                </c:rich>
              </c:tx>
              <c:showLegendKey val="0"/>
              <c:showVal val="1"/>
              <c:showCatName val="0"/>
              <c:showSerName val="0"/>
              <c:showPercent val="0"/>
              <c:showBubbleSize val="0"/>
              <c:extLst>
                <c:ext xmlns:c15="http://schemas.microsoft.com/office/drawing/2012/chart" uri="{CE6537A1-D6FC-4f65-9D91-7224C49458BB}"/>
              </c:extLst>
            </c:dLbl>
            <c:dLbl>
              <c:idx val="3"/>
              <c:tx>
                <c:rich>
                  <a:bodyPr/>
                  <a:lstStyle/>
                  <a:p>
                    <a:r>
                      <a:rPr lang="en-US"/>
                      <a:t>2008</a:t>
                    </a:r>
                  </a:p>
                </c:rich>
              </c:tx>
              <c:showLegendKey val="0"/>
              <c:showVal val="1"/>
              <c:showCatName val="0"/>
              <c:showSerName val="0"/>
              <c:showPercent val="0"/>
              <c:showBubbleSize val="0"/>
              <c:extLst>
                <c:ext xmlns:c15="http://schemas.microsoft.com/office/drawing/2012/chart" uri="{CE6537A1-D6FC-4f65-9D91-7224C49458BB}"/>
              </c:extLst>
            </c:dLbl>
            <c:dLbl>
              <c:idx val="4"/>
              <c:tx>
                <c:rich>
                  <a:bodyPr/>
                  <a:lstStyle/>
                  <a:p>
                    <a:r>
                      <a:rPr lang="en-US"/>
                      <a:t>2009</a:t>
                    </a:r>
                  </a:p>
                </c:rich>
              </c:tx>
              <c:showLegendKey val="0"/>
              <c:showVal val="1"/>
              <c:showCatName val="0"/>
              <c:showSerName val="0"/>
              <c:showPercent val="0"/>
              <c:showBubbleSize val="0"/>
              <c:extLst>
                <c:ext xmlns:c15="http://schemas.microsoft.com/office/drawing/2012/chart" uri="{CE6537A1-D6FC-4f65-9D91-7224C49458BB}"/>
              </c:extLst>
            </c:dLbl>
            <c:dLbl>
              <c:idx val="5"/>
              <c:tx>
                <c:rich>
                  <a:bodyPr/>
                  <a:lstStyle/>
                  <a:p>
                    <a:r>
                      <a:rPr lang="en-US"/>
                      <a:t>2010</a:t>
                    </a:r>
                  </a:p>
                </c:rich>
              </c:tx>
              <c:showLegendKey val="0"/>
              <c:showVal val="1"/>
              <c:showCatName val="0"/>
              <c:showSerName val="0"/>
              <c:showPercent val="0"/>
              <c:showBubbleSize val="0"/>
              <c:extLst>
                <c:ext xmlns:c15="http://schemas.microsoft.com/office/drawing/2012/chart" uri="{CE6537A1-D6FC-4f65-9D91-7224C49458BB}"/>
              </c:extLst>
            </c:dLbl>
            <c:dLbl>
              <c:idx val="6"/>
              <c:tx>
                <c:rich>
                  <a:bodyPr/>
                  <a:lstStyle/>
                  <a:p>
                    <a:r>
                      <a:rPr lang="en-US"/>
                      <a:t>2011</a:t>
                    </a:r>
                  </a:p>
                </c:rich>
              </c:tx>
              <c:showLegendKey val="0"/>
              <c:showVal val="1"/>
              <c:showCatName val="0"/>
              <c:showSerName val="0"/>
              <c:showPercent val="0"/>
              <c:showBubbleSize val="0"/>
              <c:extLst>
                <c:ext xmlns:c15="http://schemas.microsoft.com/office/drawing/2012/chart" uri="{CE6537A1-D6FC-4f65-9D91-7224C49458BB}"/>
              </c:extLst>
            </c:dLbl>
            <c:dLbl>
              <c:idx val="7"/>
              <c:tx>
                <c:rich>
                  <a:bodyPr/>
                  <a:lstStyle/>
                  <a:p>
                    <a:r>
                      <a:rPr lang="en-US"/>
                      <a:t>2012</a:t>
                    </a:r>
                  </a:p>
                </c:rich>
              </c:tx>
              <c:showLegendKey val="0"/>
              <c:showVal val="1"/>
              <c:showCatName val="0"/>
              <c:showSerName val="0"/>
              <c:showPercent val="0"/>
              <c:showBubbleSize val="0"/>
              <c:extLst>
                <c:ext xmlns:c15="http://schemas.microsoft.com/office/drawing/2012/chart" uri="{CE6537A1-D6FC-4f65-9D91-7224C49458BB}"/>
              </c:extLst>
            </c:dLbl>
            <c:dLbl>
              <c:idx val="8"/>
              <c:tx>
                <c:rich>
                  <a:bodyPr/>
                  <a:lstStyle/>
                  <a:p>
                    <a:r>
                      <a:rPr lang="en-US"/>
                      <a:t>2013</a:t>
                    </a:r>
                  </a:p>
                </c:rich>
              </c:tx>
              <c:showLegendKey val="0"/>
              <c:showVal val="1"/>
              <c:showCatName val="0"/>
              <c:showSerName val="0"/>
              <c:showPercent val="0"/>
              <c:showBubbleSize val="0"/>
              <c:extLst>
                <c:ext xmlns:c15="http://schemas.microsoft.com/office/drawing/2012/chart" uri="{CE6537A1-D6FC-4f65-9D91-7224C49458BB}"/>
              </c:extLst>
            </c:dLbl>
            <c:dLbl>
              <c:idx val="9"/>
              <c:tx>
                <c:rich>
                  <a:bodyPr/>
                  <a:lstStyle/>
                  <a:p>
                    <a:r>
                      <a:rPr lang="en-US"/>
                      <a:t>2014</a:t>
                    </a:r>
                  </a:p>
                </c:rich>
              </c:tx>
              <c:showLegendKey val="0"/>
              <c:showVal val="1"/>
              <c:showCatName val="0"/>
              <c:showSerName val="0"/>
              <c:showPercent val="0"/>
              <c:showBubbleSize val="0"/>
              <c:extLst>
                <c:ext xmlns:c15="http://schemas.microsoft.com/office/drawing/2012/chart" uri="{CE6537A1-D6FC-4f65-9D91-7224C49458BB}"/>
              </c:extLst>
            </c:dLbl>
            <c:dLbl>
              <c:idx val="10"/>
              <c:tx>
                <c:rich>
                  <a:bodyPr/>
                  <a:lstStyle/>
                  <a:p>
                    <a:r>
                      <a:rPr lang="en-US"/>
                      <a:t>2015</a:t>
                    </a:r>
                  </a:p>
                </c:rich>
              </c:tx>
              <c:showLegendKey val="0"/>
              <c:showVal val="1"/>
              <c:showCatName val="0"/>
              <c:showSerName val="0"/>
              <c:showPercent val="0"/>
              <c:showBubbleSize val="0"/>
              <c:extLst>
                <c:ext xmlns:c15="http://schemas.microsoft.com/office/drawing/2012/chart" uri="{CE6537A1-D6FC-4f65-9D91-7224C49458BB}"/>
              </c:extLst>
            </c:dLbl>
            <c:dLbl>
              <c:idx val="11"/>
              <c:tx>
                <c:rich>
                  <a:bodyPr/>
                  <a:lstStyle/>
                  <a:p>
                    <a:r>
                      <a:rPr lang="en-US"/>
                      <a:t>2016</a:t>
                    </a:r>
                  </a:p>
                </c:rich>
              </c:tx>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Foglio1!$A$2:$A$13</c:f>
              <c:numCache>
                <c:formatCode>General</c:formatCode>
                <c:ptCount val="12"/>
                <c:pt idx="0">
                  <c:v>4.8</c:v>
                </c:pt>
                <c:pt idx="1">
                  <c:v>5.4</c:v>
                </c:pt>
                <c:pt idx="2">
                  <c:v>5.3</c:v>
                </c:pt>
                <c:pt idx="3">
                  <c:v>5.6</c:v>
                </c:pt>
                <c:pt idx="4">
                  <c:v>7.6</c:v>
                </c:pt>
                <c:pt idx="5">
                  <c:v>7.8</c:v>
                </c:pt>
                <c:pt idx="6">
                  <c:v>8.1</c:v>
                </c:pt>
                <c:pt idx="7">
                  <c:v>7.9</c:v>
                </c:pt>
                <c:pt idx="8">
                  <c:v>7.6</c:v>
                </c:pt>
                <c:pt idx="9">
                  <c:v>6.1</c:v>
                </c:pt>
                <c:pt idx="10">
                  <c:v>5.3</c:v>
                </c:pt>
                <c:pt idx="11">
                  <c:v>5</c:v>
                </c:pt>
              </c:numCache>
            </c:numRef>
          </c:xVal>
          <c:yVal>
            <c:numRef>
              <c:f>Foglio1!$B$2:$B$13</c:f>
              <c:numCache>
                <c:formatCode>General</c:formatCode>
                <c:ptCount val="12"/>
                <c:pt idx="0">
                  <c:v>2.0499999999999998</c:v>
                </c:pt>
                <c:pt idx="1">
                  <c:v>2.33</c:v>
                </c:pt>
                <c:pt idx="2">
                  <c:v>2.3199999999999998</c:v>
                </c:pt>
                <c:pt idx="3">
                  <c:v>3.61</c:v>
                </c:pt>
                <c:pt idx="4">
                  <c:v>2.17</c:v>
                </c:pt>
                <c:pt idx="5">
                  <c:v>3.29</c:v>
                </c:pt>
                <c:pt idx="6">
                  <c:v>4.4800000000000004</c:v>
                </c:pt>
                <c:pt idx="7">
                  <c:v>2.83</c:v>
                </c:pt>
                <c:pt idx="8">
                  <c:v>2.5299999999999998</c:v>
                </c:pt>
                <c:pt idx="9">
                  <c:v>1.47</c:v>
                </c:pt>
                <c:pt idx="10">
                  <c:v>0.05</c:v>
                </c:pt>
                <c:pt idx="11">
                  <c:v>0.64</c:v>
                </c:pt>
              </c:numCache>
            </c:numRef>
          </c:yVal>
          <c:smooth val="0"/>
        </c:ser>
        <c:dLbls>
          <c:showLegendKey val="0"/>
          <c:showVal val="0"/>
          <c:showCatName val="0"/>
          <c:showSerName val="0"/>
          <c:showPercent val="0"/>
          <c:showBubbleSize val="0"/>
        </c:dLbls>
        <c:axId val="395335600"/>
        <c:axId val="395336160"/>
      </c:scatterChart>
      <c:valAx>
        <c:axId val="395335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95336160"/>
        <c:crosses val="autoZero"/>
        <c:crossBetween val="midCat"/>
      </c:valAx>
      <c:valAx>
        <c:axId val="395336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953356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Tasso di disoccupazione e d'inflazione Gran Bretagna </a:t>
            </a:r>
            <a:r>
              <a:rPr lang="en-US" sz="1400" b="0" i="0" u="none" strike="noStrike" baseline="0">
                <a:effectLst/>
              </a:rPr>
              <a:t>(2005-2016)</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Disoccupazione</c:v>
                </c:pt>
              </c:strCache>
            </c:strRef>
          </c:tx>
          <c:spPr>
            <a:ln w="28575" cap="rnd">
              <a:solidFill>
                <a:schemeClr val="accent1"/>
              </a:solidFill>
              <a:round/>
            </a:ln>
            <a:effectLst/>
          </c:spPr>
          <c:marker>
            <c:symbol val="none"/>
          </c:marker>
          <c:cat>
            <c:numRef>
              <c:f>Foglio1!$A$2:$A$15</c:f>
              <c:numCache>
                <c:formatCode>General</c:formatCode>
                <c:ptCount val="14"/>
                <c:pt idx="0">
                  <c:v>2005</c:v>
                </c:pt>
                <c:pt idx="1">
                  <c:v>2006</c:v>
                </c:pt>
                <c:pt idx="2">
                  <c:v>2007</c:v>
                </c:pt>
                <c:pt idx="3">
                  <c:v>2008</c:v>
                </c:pt>
                <c:pt idx="4">
                  <c:v>2009</c:v>
                </c:pt>
                <c:pt idx="5">
                  <c:v>2010</c:v>
                </c:pt>
                <c:pt idx="6">
                  <c:v>2011</c:v>
                </c:pt>
                <c:pt idx="7">
                  <c:v>2012</c:v>
                </c:pt>
                <c:pt idx="8">
                  <c:v>2013</c:v>
                </c:pt>
                <c:pt idx="9">
                  <c:v>2014</c:v>
                </c:pt>
                <c:pt idx="10">
                  <c:v>2015</c:v>
                </c:pt>
                <c:pt idx="11">
                  <c:v>2016</c:v>
                </c:pt>
              </c:numCache>
            </c:numRef>
          </c:cat>
          <c:val>
            <c:numRef>
              <c:f>Foglio1!$B$2:$B$15</c:f>
              <c:numCache>
                <c:formatCode>General</c:formatCode>
                <c:ptCount val="14"/>
                <c:pt idx="0">
                  <c:v>4.8</c:v>
                </c:pt>
                <c:pt idx="1">
                  <c:v>5.4</c:v>
                </c:pt>
                <c:pt idx="2">
                  <c:v>5.3</c:v>
                </c:pt>
                <c:pt idx="3">
                  <c:v>5.6</c:v>
                </c:pt>
                <c:pt idx="4">
                  <c:v>7.6</c:v>
                </c:pt>
                <c:pt idx="5">
                  <c:v>7.8</c:v>
                </c:pt>
                <c:pt idx="6">
                  <c:v>8.1</c:v>
                </c:pt>
                <c:pt idx="7">
                  <c:v>7.9</c:v>
                </c:pt>
                <c:pt idx="8">
                  <c:v>7.6</c:v>
                </c:pt>
                <c:pt idx="9">
                  <c:v>6.1</c:v>
                </c:pt>
                <c:pt idx="10">
                  <c:v>5.3</c:v>
                </c:pt>
                <c:pt idx="11">
                  <c:v>5</c:v>
                </c:pt>
              </c:numCache>
            </c:numRef>
          </c:val>
          <c:smooth val="0"/>
        </c:ser>
        <c:ser>
          <c:idx val="1"/>
          <c:order val="1"/>
          <c:tx>
            <c:strRef>
              <c:f>Foglio1!$C$1</c:f>
              <c:strCache>
                <c:ptCount val="1"/>
                <c:pt idx="0">
                  <c:v>Inflazione media annua</c:v>
                </c:pt>
              </c:strCache>
            </c:strRef>
          </c:tx>
          <c:spPr>
            <a:ln w="28575" cap="rnd">
              <a:solidFill>
                <a:schemeClr val="accent2"/>
              </a:solidFill>
              <a:round/>
            </a:ln>
            <a:effectLst/>
          </c:spPr>
          <c:marker>
            <c:symbol val="none"/>
          </c:marker>
          <c:cat>
            <c:numRef>
              <c:f>Foglio1!$A$2:$A$15</c:f>
              <c:numCache>
                <c:formatCode>General</c:formatCode>
                <c:ptCount val="14"/>
                <c:pt idx="0">
                  <c:v>2005</c:v>
                </c:pt>
                <c:pt idx="1">
                  <c:v>2006</c:v>
                </c:pt>
                <c:pt idx="2">
                  <c:v>2007</c:v>
                </c:pt>
                <c:pt idx="3">
                  <c:v>2008</c:v>
                </c:pt>
                <c:pt idx="4">
                  <c:v>2009</c:v>
                </c:pt>
                <c:pt idx="5">
                  <c:v>2010</c:v>
                </c:pt>
                <c:pt idx="6">
                  <c:v>2011</c:v>
                </c:pt>
                <c:pt idx="7">
                  <c:v>2012</c:v>
                </c:pt>
                <c:pt idx="8">
                  <c:v>2013</c:v>
                </c:pt>
                <c:pt idx="9">
                  <c:v>2014</c:v>
                </c:pt>
                <c:pt idx="10">
                  <c:v>2015</c:v>
                </c:pt>
                <c:pt idx="11">
                  <c:v>2016</c:v>
                </c:pt>
              </c:numCache>
            </c:numRef>
          </c:cat>
          <c:val>
            <c:numRef>
              <c:f>Foglio1!$C$2:$C$15</c:f>
              <c:numCache>
                <c:formatCode>General</c:formatCode>
                <c:ptCount val="14"/>
                <c:pt idx="0">
                  <c:v>2.0499999999999998</c:v>
                </c:pt>
                <c:pt idx="1">
                  <c:v>2.33</c:v>
                </c:pt>
                <c:pt idx="2">
                  <c:v>2.3199999999999998</c:v>
                </c:pt>
                <c:pt idx="3">
                  <c:v>3.61</c:v>
                </c:pt>
                <c:pt idx="4">
                  <c:v>2.17</c:v>
                </c:pt>
                <c:pt idx="5">
                  <c:v>3.29</c:v>
                </c:pt>
                <c:pt idx="6">
                  <c:v>4.4800000000000004</c:v>
                </c:pt>
                <c:pt idx="7">
                  <c:v>2.83</c:v>
                </c:pt>
                <c:pt idx="8">
                  <c:v>2.5299999999999998</c:v>
                </c:pt>
                <c:pt idx="9">
                  <c:v>1.47</c:v>
                </c:pt>
                <c:pt idx="10">
                  <c:v>0.05</c:v>
                </c:pt>
                <c:pt idx="11">
                  <c:v>0.64</c:v>
                </c:pt>
              </c:numCache>
            </c:numRef>
          </c:val>
          <c:smooth val="0"/>
        </c:ser>
        <c:dLbls>
          <c:showLegendKey val="0"/>
          <c:showVal val="0"/>
          <c:showCatName val="0"/>
          <c:showSerName val="0"/>
          <c:showPercent val="0"/>
          <c:showBubbleSize val="0"/>
        </c:dLbls>
        <c:smooth val="0"/>
        <c:axId val="462346752"/>
        <c:axId val="462347312"/>
      </c:lineChart>
      <c:catAx>
        <c:axId val="462346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2347312"/>
        <c:crosses val="autoZero"/>
        <c:auto val="1"/>
        <c:lblAlgn val="ctr"/>
        <c:lblOffset val="100"/>
        <c:noMultiLvlLbl val="0"/>
      </c:catAx>
      <c:valAx>
        <c:axId val="462347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62346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it-IT"/>
    </a:p>
  </c:txPr>
  <c:externalData r:id="rId3">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Tasso di disoccupazione e d'inflazione Gran Bretagna </a:t>
            </a:r>
            <a:r>
              <a:rPr lang="en-US" sz="1400" b="0" i="0" u="none" strike="noStrike" baseline="0">
                <a:effectLst/>
              </a:rPr>
              <a:t>(2005-2016)</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Disoccupazione</c:v>
                </c:pt>
              </c:strCache>
            </c:strRef>
          </c:tx>
          <c:spPr>
            <a:ln w="28575" cap="rnd">
              <a:solidFill>
                <a:schemeClr val="accent1"/>
              </a:solidFill>
              <a:round/>
            </a:ln>
            <a:effectLst/>
          </c:spPr>
          <c:marker>
            <c:symbol val="none"/>
          </c:marker>
          <c:cat>
            <c:numRef>
              <c:f>Foglio1!$A$2:$A$15</c:f>
              <c:numCache>
                <c:formatCode>General</c:formatCode>
                <c:ptCount val="14"/>
                <c:pt idx="0">
                  <c:v>2005</c:v>
                </c:pt>
                <c:pt idx="1">
                  <c:v>2006</c:v>
                </c:pt>
                <c:pt idx="2">
                  <c:v>2007</c:v>
                </c:pt>
                <c:pt idx="3">
                  <c:v>2008</c:v>
                </c:pt>
                <c:pt idx="4">
                  <c:v>2009</c:v>
                </c:pt>
                <c:pt idx="5">
                  <c:v>2010</c:v>
                </c:pt>
                <c:pt idx="6">
                  <c:v>2011</c:v>
                </c:pt>
                <c:pt idx="7">
                  <c:v>2012</c:v>
                </c:pt>
                <c:pt idx="8">
                  <c:v>2013</c:v>
                </c:pt>
                <c:pt idx="9">
                  <c:v>2014</c:v>
                </c:pt>
                <c:pt idx="10">
                  <c:v>2015</c:v>
                </c:pt>
                <c:pt idx="11">
                  <c:v>2016</c:v>
                </c:pt>
              </c:numCache>
            </c:numRef>
          </c:cat>
          <c:val>
            <c:numRef>
              <c:f>Foglio1!$B$2:$B$15</c:f>
              <c:numCache>
                <c:formatCode>General</c:formatCode>
                <c:ptCount val="14"/>
                <c:pt idx="0">
                  <c:v>4.8</c:v>
                </c:pt>
                <c:pt idx="1">
                  <c:v>5.4</c:v>
                </c:pt>
                <c:pt idx="2">
                  <c:v>5.3</c:v>
                </c:pt>
                <c:pt idx="3">
                  <c:v>5.6</c:v>
                </c:pt>
                <c:pt idx="4">
                  <c:v>7.6</c:v>
                </c:pt>
                <c:pt idx="5">
                  <c:v>7.8</c:v>
                </c:pt>
                <c:pt idx="6">
                  <c:v>8.1</c:v>
                </c:pt>
                <c:pt idx="7">
                  <c:v>7.9</c:v>
                </c:pt>
                <c:pt idx="8">
                  <c:v>7.6</c:v>
                </c:pt>
                <c:pt idx="9">
                  <c:v>6.1</c:v>
                </c:pt>
                <c:pt idx="10">
                  <c:v>5.3</c:v>
                </c:pt>
                <c:pt idx="11">
                  <c:v>5</c:v>
                </c:pt>
              </c:numCache>
            </c:numRef>
          </c:val>
          <c:smooth val="0"/>
        </c:ser>
        <c:ser>
          <c:idx val="1"/>
          <c:order val="1"/>
          <c:tx>
            <c:strRef>
              <c:f>Foglio1!$C$1</c:f>
              <c:strCache>
                <c:ptCount val="1"/>
                <c:pt idx="0">
                  <c:v>Inflazione media annua</c:v>
                </c:pt>
              </c:strCache>
            </c:strRef>
          </c:tx>
          <c:spPr>
            <a:ln w="28575" cap="rnd">
              <a:solidFill>
                <a:schemeClr val="accent2"/>
              </a:solidFill>
              <a:round/>
            </a:ln>
            <a:effectLst/>
          </c:spPr>
          <c:marker>
            <c:symbol val="none"/>
          </c:marker>
          <c:cat>
            <c:numRef>
              <c:f>Foglio1!$A$2:$A$15</c:f>
              <c:numCache>
                <c:formatCode>General</c:formatCode>
                <c:ptCount val="14"/>
                <c:pt idx="0">
                  <c:v>2005</c:v>
                </c:pt>
                <c:pt idx="1">
                  <c:v>2006</c:v>
                </c:pt>
                <c:pt idx="2">
                  <c:v>2007</c:v>
                </c:pt>
                <c:pt idx="3">
                  <c:v>2008</c:v>
                </c:pt>
                <c:pt idx="4">
                  <c:v>2009</c:v>
                </c:pt>
                <c:pt idx="5">
                  <c:v>2010</c:v>
                </c:pt>
                <c:pt idx="6">
                  <c:v>2011</c:v>
                </c:pt>
                <c:pt idx="7">
                  <c:v>2012</c:v>
                </c:pt>
                <c:pt idx="8">
                  <c:v>2013</c:v>
                </c:pt>
                <c:pt idx="9">
                  <c:v>2014</c:v>
                </c:pt>
                <c:pt idx="10">
                  <c:v>2015</c:v>
                </c:pt>
                <c:pt idx="11">
                  <c:v>2016</c:v>
                </c:pt>
              </c:numCache>
            </c:numRef>
          </c:cat>
          <c:val>
            <c:numRef>
              <c:f>Foglio1!$C$2:$C$15</c:f>
              <c:numCache>
                <c:formatCode>General</c:formatCode>
                <c:ptCount val="14"/>
                <c:pt idx="0">
                  <c:v>2.0499999999999998</c:v>
                </c:pt>
                <c:pt idx="1">
                  <c:v>2.33</c:v>
                </c:pt>
                <c:pt idx="2">
                  <c:v>2.3199999999999998</c:v>
                </c:pt>
                <c:pt idx="3">
                  <c:v>3.61</c:v>
                </c:pt>
                <c:pt idx="4">
                  <c:v>2.17</c:v>
                </c:pt>
                <c:pt idx="5">
                  <c:v>3.29</c:v>
                </c:pt>
                <c:pt idx="6">
                  <c:v>4.4800000000000004</c:v>
                </c:pt>
                <c:pt idx="7">
                  <c:v>2.83</c:v>
                </c:pt>
                <c:pt idx="8">
                  <c:v>2.5299999999999998</c:v>
                </c:pt>
                <c:pt idx="9">
                  <c:v>1.47</c:v>
                </c:pt>
                <c:pt idx="10">
                  <c:v>0.05</c:v>
                </c:pt>
                <c:pt idx="11">
                  <c:v>0.64</c:v>
                </c:pt>
              </c:numCache>
            </c:numRef>
          </c:val>
          <c:smooth val="0"/>
        </c:ser>
        <c:dLbls>
          <c:showLegendKey val="0"/>
          <c:showVal val="0"/>
          <c:showCatName val="0"/>
          <c:showSerName val="0"/>
          <c:showPercent val="0"/>
          <c:showBubbleSize val="0"/>
        </c:dLbls>
        <c:smooth val="0"/>
        <c:axId val="395338960"/>
        <c:axId val="395339520"/>
      </c:lineChart>
      <c:catAx>
        <c:axId val="395338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95339520"/>
        <c:crosses val="autoZero"/>
        <c:auto val="1"/>
        <c:lblAlgn val="ctr"/>
        <c:lblOffset val="100"/>
        <c:noMultiLvlLbl val="0"/>
      </c:catAx>
      <c:valAx>
        <c:axId val="395339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95338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32213-73A1-4B14-9D09-34E840B71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3378</TotalTime>
  <Pages>40</Pages>
  <Words>7055</Words>
  <Characters>40218</Characters>
  <Application>Microsoft Office Word</Application>
  <DocSecurity>0</DocSecurity>
  <Lines>335</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De Ang</dc:creator>
  <cp:keywords/>
  <dc:description/>
  <cp:lastModifiedBy>Jacopo</cp:lastModifiedBy>
  <cp:revision>202</cp:revision>
  <cp:lastPrinted>2017-02-07T16:03:00Z</cp:lastPrinted>
  <dcterms:created xsi:type="dcterms:W3CDTF">2016-12-02T08:20:00Z</dcterms:created>
  <dcterms:modified xsi:type="dcterms:W3CDTF">2017-02-22T19:40:00Z</dcterms:modified>
</cp:coreProperties>
</file>