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1075FD">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30DD7455"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w:t>
                                  </w:r>
                                  <w:r w:rsidR="008B7794">
                                    <w:rPr>
                                      <w:b/>
                                      <w:color w:val="FF0000"/>
                                      <w:sz w:val="28"/>
                                      <w:lang w:val="en-ZA"/>
                                    </w:rPr>
                                    <w:t>3/08</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1075FD">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30DD7455"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w:t>
                            </w:r>
                            <w:r w:rsidR="008B7794">
                              <w:rPr>
                                <w:b/>
                                <w:color w:val="FF0000"/>
                                <w:sz w:val="28"/>
                                <w:lang w:val="en-ZA"/>
                              </w:rPr>
                              <w:t>3/08</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399BF175"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B7794">
                                      <w:rPr>
                                        <w:b/>
                                        <w:i/>
                                        <w:color w:val="595959" w:themeColor="text1" w:themeTint="A6"/>
                                        <w:sz w:val="20"/>
                                        <w:szCs w:val="20"/>
                                      </w:rPr>
                                      <w:br/>
                                      <w:t>ePart consist of a significant size of source code, critical to ePart that Engineparts exclusively relies on for its business processes. As such it is mission critical and requires good governance, the how that this document intends addressing</w:t>
                                    </w:r>
                                  </w:sdtContent>
                                </w:sdt>
                                <w:r>
                                  <w:rPr>
                                    <w:b/>
                                    <w:i/>
                                    <w:color w:val="595959" w:themeColor="text1" w:themeTint="A6"/>
                                    <w:sz w:val="20"/>
                                    <w:szCs w:val="20"/>
                                  </w:rPr>
                                  <w:br/>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399BF175"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B7794">
                                <w:rPr>
                                  <w:b/>
                                  <w:i/>
                                  <w:color w:val="595959" w:themeColor="text1" w:themeTint="A6"/>
                                  <w:sz w:val="20"/>
                                  <w:szCs w:val="20"/>
                                </w:rPr>
                                <w:br/>
                                <w:t>ePart consist of a significant size of source code, critical to ePart that Engineparts exclusively relies on for its business processes. As such it is mission critical and requires good governance, the how that this document intends addressing</w:t>
                              </w:r>
                            </w:sdtContent>
                          </w:sdt>
                          <w:r>
                            <w:rPr>
                              <w:b/>
                              <w:i/>
                              <w:color w:val="595959" w:themeColor="text1" w:themeTint="A6"/>
                              <w:sz w:val="20"/>
                              <w:szCs w:val="20"/>
                            </w:rPr>
                            <w:br/>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09502EF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1827E28C" w:rsidR="006E3EF6" w:rsidRDefault="008B7794">
                                <w:pPr>
                                  <w:pStyle w:val="NoSpacing"/>
                                  <w:jc w:val="right"/>
                                  <w:rPr>
                                    <w:color w:val="FFFFFF" w:themeColor="background1"/>
                                    <w:sz w:val="72"/>
                                    <w:szCs w:val="72"/>
                                    <w:lang w:val="en-ZA"/>
                                  </w:rPr>
                                </w:pPr>
                                <w:r>
                                  <w:rPr>
                                    <w:color w:val="FFFFFF" w:themeColor="background1"/>
                                    <w:sz w:val="72"/>
                                    <w:szCs w:val="72"/>
                                    <w:lang w:val="en-ZA"/>
                                  </w:rPr>
                                  <w:t>ePart Versioning</w:t>
                                </w:r>
                              </w:p>
                              <w:p w14:paraId="147A0E85" w14:textId="298BB459" w:rsidR="008B7794" w:rsidRDefault="008B7794" w:rsidP="008B7794">
                                <w:pPr>
                                  <w:pStyle w:val="NoSpacing"/>
                                  <w:jc w:val="right"/>
                                  <w:rPr>
                                    <w:color w:val="FFFFFF" w:themeColor="background1"/>
                                    <w:sz w:val="72"/>
                                    <w:szCs w:val="72"/>
                                    <w:lang w:val="en-ZA"/>
                                  </w:rPr>
                                </w:pPr>
                                <w:r>
                                  <w:rPr>
                                    <w:color w:val="FFFFFF" w:themeColor="background1"/>
                                    <w:sz w:val="72"/>
                                    <w:szCs w:val="72"/>
                                    <w:lang w:val="en-ZA"/>
                                  </w:rPr>
                                  <w:t>Overview of ePart Source Control and related management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1827E28C" w:rsidR="006E3EF6" w:rsidRDefault="008B7794">
                          <w:pPr>
                            <w:pStyle w:val="NoSpacing"/>
                            <w:jc w:val="right"/>
                            <w:rPr>
                              <w:color w:val="FFFFFF" w:themeColor="background1"/>
                              <w:sz w:val="72"/>
                              <w:szCs w:val="72"/>
                              <w:lang w:val="en-ZA"/>
                            </w:rPr>
                          </w:pPr>
                          <w:r>
                            <w:rPr>
                              <w:color w:val="FFFFFF" w:themeColor="background1"/>
                              <w:sz w:val="72"/>
                              <w:szCs w:val="72"/>
                              <w:lang w:val="en-ZA"/>
                            </w:rPr>
                            <w:t>ePart Versioning</w:t>
                          </w:r>
                        </w:p>
                        <w:p w14:paraId="147A0E85" w14:textId="298BB459" w:rsidR="008B7794" w:rsidRDefault="008B7794" w:rsidP="008B7794">
                          <w:pPr>
                            <w:pStyle w:val="NoSpacing"/>
                            <w:jc w:val="right"/>
                            <w:rPr>
                              <w:color w:val="FFFFFF" w:themeColor="background1"/>
                              <w:sz w:val="72"/>
                              <w:szCs w:val="72"/>
                              <w:lang w:val="en-ZA"/>
                            </w:rPr>
                          </w:pPr>
                          <w:r>
                            <w:rPr>
                              <w:color w:val="FFFFFF" w:themeColor="background1"/>
                              <w:sz w:val="72"/>
                              <w:szCs w:val="72"/>
                              <w:lang w:val="en-ZA"/>
                            </w:rPr>
                            <w:t>Overview of ePart Source Control and related management</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421A36CF" w14:textId="6588FB85" w:rsidR="00E62E83"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E62E83">
        <w:rPr>
          <w:noProof/>
        </w:rPr>
        <w:t>Document approval and distribution list</w:t>
      </w:r>
      <w:r w:rsidR="00E62E83">
        <w:rPr>
          <w:noProof/>
        </w:rPr>
        <w:tab/>
      </w:r>
      <w:r w:rsidR="00E62E83">
        <w:rPr>
          <w:noProof/>
        </w:rPr>
        <w:fldChar w:fldCharType="begin"/>
      </w:r>
      <w:r w:rsidR="00E62E83">
        <w:rPr>
          <w:noProof/>
        </w:rPr>
        <w:instrText xml:space="preserve"> PAGEREF _Toc2946917 \h </w:instrText>
      </w:r>
      <w:r w:rsidR="00E62E83">
        <w:rPr>
          <w:noProof/>
        </w:rPr>
      </w:r>
      <w:r w:rsidR="00E62E83">
        <w:rPr>
          <w:noProof/>
        </w:rPr>
        <w:fldChar w:fldCharType="separate"/>
      </w:r>
      <w:r w:rsidR="00E62E83">
        <w:rPr>
          <w:noProof/>
        </w:rPr>
        <w:t>2</w:t>
      </w:r>
      <w:r w:rsidR="00E62E83">
        <w:rPr>
          <w:noProof/>
        </w:rPr>
        <w:fldChar w:fldCharType="end"/>
      </w:r>
    </w:p>
    <w:p w14:paraId="02B58117" w14:textId="356DDC4C" w:rsidR="00E62E83" w:rsidRDefault="00E62E83">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_Toc2946918 \h </w:instrText>
      </w:r>
      <w:r>
        <w:rPr>
          <w:noProof/>
        </w:rPr>
      </w:r>
      <w:r>
        <w:rPr>
          <w:noProof/>
        </w:rPr>
        <w:fldChar w:fldCharType="separate"/>
      </w:r>
      <w:r>
        <w:rPr>
          <w:noProof/>
        </w:rPr>
        <w:t>3</w:t>
      </w:r>
      <w:r>
        <w:rPr>
          <w:noProof/>
        </w:rPr>
        <w:fldChar w:fldCharType="end"/>
      </w:r>
    </w:p>
    <w:p w14:paraId="0825F353" w14:textId="465852FA" w:rsidR="00E62E83" w:rsidRDefault="00E62E83">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_Toc2946919 \h </w:instrText>
      </w:r>
      <w:r>
        <w:rPr>
          <w:noProof/>
        </w:rPr>
      </w:r>
      <w:r>
        <w:rPr>
          <w:noProof/>
        </w:rPr>
        <w:fldChar w:fldCharType="separate"/>
      </w:r>
      <w:r>
        <w:rPr>
          <w:noProof/>
        </w:rPr>
        <w:t>3</w:t>
      </w:r>
      <w:r>
        <w:rPr>
          <w:noProof/>
        </w:rPr>
        <w:fldChar w:fldCharType="end"/>
      </w:r>
    </w:p>
    <w:p w14:paraId="32F471D3" w14:textId="726D8E92" w:rsidR="00E62E83" w:rsidRDefault="00E62E83">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_Toc2946920 \h </w:instrText>
      </w:r>
      <w:r>
        <w:rPr>
          <w:noProof/>
        </w:rPr>
      </w:r>
      <w:r>
        <w:rPr>
          <w:noProof/>
        </w:rPr>
        <w:fldChar w:fldCharType="separate"/>
      </w:r>
      <w:r>
        <w:rPr>
          <w:noProof/>
        </w:rPr>
        <w:t>3</w:t>
      </w:r>
      <w:r>
        <w:rPr>
          <w:noProof/>
        </w:rPr>
        <w:fldChar w:fldCharType="end"/>
      </w:r>
    </w:p>
    <w:p w14:paraId="66BF7EBD" w14:textId="3433CB88" w:rsidR="00E62E83" w:rsidRDefault="00E62E83">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SVN repository</w:t>
      </w:r>
      <w:r>
        <w:rPr>
          <w:noProof/>
        </w:rPr>
        <w:tab/>
      </w:r>
      <w:r>
        <w:rPr>
          <w:noProof/>
        </w:rPr>
        <w:fldChar w:fldCharType="begin"/>
      </w:r>
      <w:r>
        <w:rPr>
          <w:noProof/>
        </w:rPr>
        <w:instrText xml:space="preserve"> PAGEREF _Toc2946921 \h </w:instrText>
      </w:r>
      <w:r>
        <w:rPr>
          <w:noProof/>
        </w:rPr>
      </w:r>
      <w:r>
        <w:rPr>
          <w:noProof/>
        </w:rPr>
        <w:fldChar w:fldCharType="separate"/>
      </w:r>
      <w:r>
        <w:rPr>
          <w:noProof/>
        </w:rPr>
        <w:t>3</w:t>
      </w:r>
      <w:r>
        <w:rPr>
          <w:noProof/>
        </w:rPr>
        <w:fldChar w:fldCharType="end"/>
      </w:r>
    </w:p>
    <w:p w14:paraId="5B6DF41C" w14:textId="6DD40347" w:rsidR="00E62E83" w:rsidRDefault="00E62E83">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Tortoise SVN repository</w:t>
      </w:r>
      <w:r>
        <w:rPr>
          <w:noProof/>
        </w:rPr>
        <w:tab/>
      </w:r>
      <w:r>
        <w:rPr>
          <w:noProof/>
        </w:rPr>
        <w:fldChar w:fldCharType="begin"/>
      </w:r>
      <w:r>
        <w:rPr>
          <w:noProof/>
        </w:rPr>
        <w:instrText xml:space="preserve"> PAGEREF _Toc2946922 \h </w:instrText>
      </w:r>
      <w:r>
        <w:rPr>
          <w:noProof/>
        </w:rPr>
      </w:r>
      <w:r>
        <w:rPr>
          <w:noProof/>
        </w:rPr>
        <w:fldChar w:fldCharType="separate"/>
      </w:r>
      <w:r>
        <w:rPr>
          <w:noProof/>
        </w:rPr>
        <w:t>4</w:t>
      </w:r>
      <w:r>
        <w:rPr>
          <w:noProof/>
        </w:rPr>
        <w:fldChar w:fldCharType="end"/>
      </w:r>
    </w:p>
    <w:p w14:paraId="243AB76E" w14:textId="28D914BE" w:rsidR="00E62E83" w:rsidRDefault="00E62E83">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 xml:space="preserve">Tortoise SVN </w:t>
      </w:r>
      <w:r w:rsidRPr="00B66EDB">
        <w:rPr>
          <w:b/>
          <w:i/>
          <w:noProof/>
        </w:rPr>
        <w:t>how to</w:t>
      </w:r>
      <w:r>
        <w:rPr>
          <w:noProof/>
        </w:rPr>
        <w:t xml:space="preserve"> overview</w:t>
      </w:r>
      <w:r>
        <w:rPr>
          <w:noProof/>
        </w:rPr>
        <w:tab/>
      </w:r>
      <w:r>
        <w:rPr>
          <w:noProof/>
        </w:rPr>
        <w:fldChar w:fldCharType="begin"/>
      </w:r>
      <w:r>
        <w:rPr>
          <w:noProof/>
        </w:rPr>
        <w:instrText xml:space="preserve"> PAGEREF _Toc2946923 \h </w:instrText>
      </w:r>
      <w:r>
        <w:rPr>
          <w:noProof/>
        </w:rPr>
      </w:r>
      <w:r>
        <w:rPr>
          <w:noProof/>
        </w:rPr>
        <w:fldChar w:fldCharType="separate"/>
      </w:r>
      <w:r>
        <w:rPr>
          <w:noProof/>
        </w:rPr>
        <w:t>7</w:t>
      </w:r>
      <w:r>
        <w:rPr>
          <w:noProof/>
        </w:rPr>
        <w:fldChar w:fldCharType="end"/>
      </w:r>
    </w:p>
    <w:p w14:paraId="7B9BC7F5" w14:textId="6AEF63A9" w:rsidR="00E62E83" w:rsidRDefault="00E62E83">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SVN specifics</w:t>
      </w:r>
      <w:r>
        <w:rPr>
          <w:noProof/>
        </w:rPr>
        <w:tab/>
      </w:r>
      <w:r>
        <w:rPr>
          <w:noProof/>
        </w:rPr>
        <w:fldChar w:fldCharType="begin"/>
      </w:r>
      <w:r>
        <w:rPr>
          <w:noProof/>
        </w:rPr>
        <w:instrText xml:space="preserve"> PAGEREF _Toc2946924 \h </w:instrText>
      </w:r>
      <w:r>
        <w:rPr>
          <w:noProof/>
        </w:rPr>
      </w:r>
      <w:r>
        <w:rPr>
          <w:noProof/>
        </w:rPr>
        <w:fldChar w:fldCharType="separate"/>
      </w:r>
      <w:r>
        <w:rPr>
          <w:noProof/>
        </w:rPr>
        <w:t>7</w:t>
      </w:r>
      <w:r>
        <w:rPr>
          <w:noProof/>
        </w:rPr>
        <w:fldChar w:fldCharType="end"/>
      </w:r>
    </w:p>
    <w:p w14:paraId="2252E968" w14:textId="1057322B" w:rsidR="00E62E83" w:rsidRDefault="00E62E83">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Acceptance</w:t>
      </w:r>
      <w:r>
        <w:rPr>
          <w:noProof/>
        </w:rPr>
        <w:tab/>
      </w:r>
      <w:r>
        <w:rPr>
          <w:noProof/>
        </w:rPr>
        <w:fldChar w:fldCharType="begin"/>
      </w:r>
      <w:r>
        <w:rPr>
          <w:noProof/>
        </w:rPr>
        <w:instrText xml:space="preserve"> PAGEREF _Toc2946925 \h </w:instrText>
      </w:r>
      <w:r>
        <w:rPr>
          <w:noProof/>
        </w:rPr>
      </w:r>
      <w:r>
        <w:rPr>
          <w:noProof/>
        </w:rPr>
        <w:fldChar w:fldCharType="separate"/>
      </w:r>
      <w:r>
        <w:rPr>
          <w:noProof/>
        </w:rPr>
        <w:t>8</w:t>
      </w:r>
      <w:r>
        <w:rPr>
          <w:noProof/>
        </w:rPr>
        <w:fldChar w:fldCharType="end"/>
      </w:r>
    </w:p>
    <w:p w14:paraId="51E4E1C1" w14:textId="6AB87981"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2946917"/>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6B1A1382" w14:textId="739B3A20" w:rsidR="00C74C54" w:rsidRDefault="00281F88" w:rsidP="008B7794">
      <w:pPr>
        <w:pStyle w:val="Heading1"/>
        <w:numPr>
          <w:ilvl w:val="0"/>
          <w:numId w:val="16"/>
        </w:numPr>
      </w:pPr>
      <w:bookmarkStart w:id="1" w:name="_Toc2946918"/>
      <w:r>
        <w:lastRenderedPageBreak/>
        <w:t>Introduction</w:t>
      </w:r>
      <w:bookmarkEnd w:id="1"/>
    </w:p>
    <w:p w14:paraId="2511D3B7" w14:textId="37F3D126" w:rsidR="008B7794" w:rsidRPr="008B7794" w:rsidRDefault="008B7794" w:rsidP="008B7794">
      <w:pPr>
        <w:ind w:left="567"/>
      </w:pPr>
    </w:p>
    <w:p w14:paraId="28EEC0F2" w14:textId="77777777" w:rsidR="008B7794" w:rsidRPr="00FE1AD0" w:rsidRDefault="008B7794" w:rsidP="008B7794">
      <w:pPr>
        <w:ind w:left="567"/>
      </w:pPr>
      <w:r w:rsidRPr="00FE1AD0">
        <w:t xml:space="preserve">ePart consist of a significant </w:t>
      </w:r>
      <w:r w:rsidRPr="00FE1AD0">
        <w:t xml:space="preserve">basis volume </w:t>
      </w:r>
      <w:r w:rsidRPr="00FE1AD0">
        <w:t>of source code</w:t>
      </w:r>
      <w:r w:rsidRPr="00FE1AD0">
        <w:t xml:space="preserve"> developed over many years aiming at providing well defined requirements.</w:t>
      </w:r>
      <w:r w:rsidRPr="00FE1AD0">
        <w:t xml:space="preserve"> </w:t>
      </w:r>
      <w:r w:rsidRPr="00FE1AD0">
        <w:t xml:space="preserve">The source code base is </w:t>
      </w:r>
      <w:r w:rsidRPr="00FE1AD0">
        <w:t>critical to ePart that Engineparts exclusively relies on for its business processes</w:t>
      </w:r>
      <w:r w:rsidRPr="00FE1AD0">
        <w:t xml:space="preserve"> and a</w:t>
      </w:r>
      <w:r w:rsidRPr="00FE1AD0">
        <w:t>s such it is mission critical and requires good governance</w:t>
      </w:r>
      <w:r w:rsidRPr="00FE1AD0">
        <w:t>.</w:t>
      </w:r>
    </w:p>
    <w:p w14:paraId="1FAB6517" w14:textId="214FC18E" w:rsidR="008B7794" w:rsidRPr="00FE1AD0" w:rsidRDefault="008B7794" w:rsidP="008B7794">
      <w:pPr>
        <w:ind w:left="567"/>
      </w:pPr>
      <w:r w:rsidRPr="00FE1AD0">
        <w:t>In any serious developer environment, a version of source control is critical to manage the following aspects:</w:t>
      </w:r>
    </w:p>
    <w:p w14:paraId="0BC138A9" w14:textId="572AB55F" w:rsidR="008B7794" w:rsidRPr="00FE1AD0" w:rsidRDefault="008B7794" w:rsidP="008B7794">
      <w:pPr>
        <w:pStyle w:val="ListParagraph"/>
        <w:numPr>
          <w:ilvl w:val="0"/>
          <w:numId w:val="36"/>
        </w:numPr>
      </w:pPr>
      <w:r w:rsidRPr="00FE1AD0">
        <w:t xml:space="preserve">Placing all source code in a repository designed </w:t>
      </w:r>
      <w:r w:rsidR="00FE1AD0" w:rsidRPr="00FE1AD0">
        <w:t xml:space="preserve">purpose designed for this purpose. For ePart the choice was SVN and has been in use for </w:t>
      </w:r>
      <w:proofErr w:type="gramStart"/>
      <w:r w:rsidR="00FE1AD0" w:rsidRPr="00FE1AD0">
        <w:t>a number of</w:t>
      </w:r>
      <w:proofErr w:type="gramEnd"/>
      <w:r w:rsidR="00FE1AD0" w:rsidRPr="00FE1AD0">
        <w:t xml:space="preserve"> years pre-dating 2007.</w:t>
      </w:r>
    </w:p>
    <w:p w14:paraId="1C7CE07F" w14:textId="4605748A" w:rsidR="00FE1AD0" w:rsidRPr="00FE1AD0" w:rsidRDefault="00FE1AD0" w:rsidP="008B7794">
      <w:pPr>
        <w:pStyle w:val="ListParagraph"/>
        <w:numPr>
          <w:ilvl w:val="0"/>
          <w:numId w:val="36"/>
        </w:numPr>
      </w:pPr>
      <w:r w:rsidRPr="00FE1AD0">
        <w:t>The source code needs regular backing up and is the case of the SVN repository</w:t>
      </w:r>
    </w:p>
    <w:p w14:paraId="5A54A7A0" w14:textId="2DB30595" w:rsidR="00FE1AD0" w:rsidRPr="00FE1AD0" w:rsidRDefault="00FE1AD0" w:rsidP="008B7794">
      <w:pPr>
        <w:pStyle w:val="ListParagraph"/>
        <w:numPr>
          <w:ilvl w:val="0"/>
          <w:numId w:val="36"/>
        </w:numPr>
      </w:pPr>
      <w:r w:rsidRPr="00FE1AD0">
        <w:t>Track changes made and by whom in the event of a systems failure post any changes made. This will allow system administrators to rollback to a previous known working state. SVN caters for this</w:t>
      </w:r>
    </w:p>
    <w:p w14:paraId="47E9EFD5" w14:textId="77D63022" w:rsidR="00FE1AD0" w:rsidRPr="00FE1AD0" w:rsidRDefault="00FE1AD0" w:rsidP="008B7794">
      <w:pPr>
        <w:pStyle w:val="ListParagraph"/>
        <w:numPr>
          <w:ilvl w:val="0"/>
          <w:numId w:val="36"/>
        </w:numPr>
      </w:pPr>
      <w:r w:rsidRPr="00FE1AD0">
        <w:t xml:space="preserve">A user interface </w:t>
      </w:r>
      <w:r w:rsidR="007C22B9">
        <w:t xml:space="preserve">(Tortoise SVN) </w:t>
      </w:r>
      <w:r w:rsidRPr="00FE1AD0">
        <w:t>that permits users to manage own copies of the available source code, to acquire the latest source code version, create new versions, detect changes that collide between developers and to apply conflict resolution. SVN supports much of this concept, sufficiently so in the ePart environment where there is one developer currently</w:t>
      </w:r>
      <w:r w:rsidR="007C22B9">
        <w:t>.</w:t>
      </w:r>
    </w:p>
    <w:p w14:paraId="2A4AD59C" w14:textId="6344DF4E" w:rsidR="00FE1AD0" w:rsidRPr="00FE1AD0" w:rsidRDefault="00FE1AD0" w:rsidP="00FE1AD0"/>
    <w:p w14:paraId="6437B197" w14:textId="342E4742" w:rsidR="00FE1AD0" w:rsidRPr="00FE1AD0" w:rsidRDefault="00FE1AD0" w:rsidP="00FE1AD0">
      <w:pPr>
        <w:ind w:left="567"/>
      </w:pPr>
      <w:r w:rsidRPr="00FE1AD0">
        <w:t>Should there be a compelling need, GitHub should be strongly considered as it performs the same functions as SVN and more.</w:t>
      </w:r>
    </w:p>
    <w:p w14:paraId="698B8279" w14:textId="77777777" w:rsidR="00B56AB6" w:rsidRDefault="00B56AB6" w:rsidP="00034D37">
      <w:pPr>
        <w:pStyle w:val="Heading1"/>
        <w:numPr>
          <w:ilvl w:val="0"/>
          <w:numId w:val="16"/>
        </w:numPr>
      </w:pPr>
      <w:bookmarkStart w:id="2" w:name="_Toc2946919"/>
      <w:r>
        <w:t>Audience</w:t>
      </w:r>
      <w:bookmarkEnd w:id="2"/>
    </w:p>
    <w:p w14:paraId="4826DCD7" w14:textId="530C3E0A" w:rsidR="002A04BB" w:rsidRDefault="00C74C54" w:rsidP="00413E33">
      <w:pPr>
        <w:pStyle w:val="ListParagraph"/>
        <w:numPr>
          <w:ilvl w:val="0"/>
          <w:numId w:val="33"/>
        </w:numPr>
      </w:pPr>
      <w:r>
        <w:t>Management</w:t>
      </w:r>
    </w:p>
    <w:p w14:paraId="17B4DFB3" w14:textId="4D688D2D" w:rsidR="00C74C54" w:rsidRDefault="00C74C54" w:rsidP="00413E33">
      <w:pPr>
        <w:pStyle w:val="ListParagraph"/>
        <w:numPr>
          <w:ilvl w:val="0"/>
          <w:numId w:val="33"/>
        </w:numPr>
      </w:pPr>
      <w:r>
        <w:t>ePart Admin</w:t>
      </w:r>
    </w:p>
    <w:p w14:paraId="3EFCD383" w14:textId="709D6EB6" w:rsidR="00FE1AD0" w:rsidRDefault="00FE1AD0" w:rsidP="00413E33">
      <w:pPr>
        <w:pStyle w:val="ListParagraph"/>
        <w:numPr>
          <w:ilvl w:val="0"/>
          <w:numId w:val="33"/>
        </w:numPr>
      </w:pPr>
      <w:r>
        <w:t>Developers</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2946920"/>
      <w:r>
        <w:t>Objectives</w:t>
      </w:r>
      <w:bookmarkEnd w:id="3"/>
    </w:p>
    <w:p w14:paraId="627D0806" w14:textId="77777777" w:rsidR="002A04BB" w:rsidRDefault="002A04BB" w:rsidP="002A04BB">
      <w:pPr>
        <w:ind w:left="709"/>
        <w:jc w:val="both"/>
      </w:pPr>
    </w:p>
    <w:p w14:paraId="1399B6DE" w14:textId="3E12CB57" w:rsidR="00660FAD" w:rsidRDefault="00FE1AD0" w:rsidP="00E62E83">
      <w:pPr>
        <w:pStyle w:val="ListParagraph"/>
        <w:ind w:left="567"/>
        <w:jc w:val="both"/>
      </w:pPr>
      <w:r>
        <w:t>To ensure that the ePart source code is protected as required by good corporate governance.</w:t>
      </w:r>
    </w:p>
    <w:p w14:paraId="2BCFB8AD" w14:textId="04149E90" w:rsidR="00FE1AD0" w:rsidRDefault="00FE1AD0" w:rsidP="00E62E83">
      <w:pPr>
        <w:pStyle w:val="ListParagraph"/>
        <w:ind w:left="567"/>
        <w:jc w:val="both"/>
      </w:pPr>
    </w:p>
    <w:p w14:paraId="2613A3C0" w14:textId="0D05197B" w:rsidR="00232C95" w:rsidRDefault="00232C95" w:rsidP="00E62E83">
      <w:pPr>
        <w:pStyle w:val="ListParagraph"/>
        <w:ind w:left="567"/>
        <w:jc w:val="both"/>
      </w:pPr>
      <w:r>
        <w:t>SVN is deployed to ensure good governance of the source code base</w:t>
      </w:r>
    </w:p>
    <w:p w14:paraId="17AF44E0" w14:textId="39F1F9E7" w:rsidR="00232C95" w:rsidRDefault="00232C95" w:rsidP="00E62E83">
      <w:pPr>
        <w:pStyle w:val="ListParagraph"/>
        <w:ind w:left="567"/>
        <w:jc w:val="both"/>
      </w:pPr>
    </w:p>
    <w:p w14:paraId="130CD30F" w14:textId="5AB3C335" w:rsidR="00232C95" w:rsidRDefault="00232C95" w:rsidP="00E62E83">
      <w:pPr>
        <w:pStyle w:val="ListParagraph"/>
        <w:ind w:left="567"/>
        <w:jc w:val="both"/>
      </w:pPr>
      <w:r>
        <w:t>Ensure that backups are regularly made</w:t>
      </w:r>
    </w:p>
    <w:p w14:paraId="3D54AADC" w14:textId="742B9542" w:rsidR="00232C95" w:rsidRDefault="00232C95" w:rsidP="00E62E83">
      <w:pPr>
        <w:pStyle w:val="ListParagraph"/>
        <w:ind w:left="567"/>
        <w:jc w:val="both"/>
      </w:pPr>
    </w:p>
    <w:p w14:paraId="4709EEED" w14:textId="46BF11A7" w:rsidR="00232C95" w:rsidRDefault="00232C95" w:rsidP="00E62E83">
      <w:pPr>
        <w:pStyle w:val="ListParagraph"/>
        <w:ind w:left="567"/>
        <w:jc w:val="both"/>
      </w:pPr>
      <w:r>
        <w:t>Security is within the realm of good governance.</w:t>
      </w:r>
    </w:p>
    <w:p w14:paraId="2B1518AC" w14:textId="636052A1" w:rsidR="00E62E83" w:rsidRDefault="00E62E83" w:rsidP="00E62E83">
      <w:pPr>
        <w:pStyle w:val="ListParagraph"/>
        <w:ind w:left="567"/>
        <w:jc w:val="both"/>
      </w:pPr>
    </w:p>
    <w:p w14:paraId="014EC3A8" w14:textId="0A3DED45" w:rsidR="00E62E83" w:rsidRPr="00E62E83" w:rsidRDefault="00E62E83" w:rsidP="00E62E83">
      <w:pPr>
        <w:pStyle w:val="ListParagraph"/>
        <w:ind w:left="567"/>
        <w:jc w:val="both"/>
      </w:pPr>
      <w:r>
        <w:t xml:space="preserve">To introduce a structure that form logically part of the concept of </w:t>
      </w:r>
      <w:r w:rsidRPr="00E62E83">
        <w:rPr>
          <w:b/>
        </w:rPr>
        <w:t>self</w:t>
      </w:r>
      <w:r>
        <w:t>-</w:t>
      </w:r>
      <w:r>
        <w:rPr>
          <w:b/>
        </w:rPr>
        <w:t xml:space="preserve">documenting </w:t>
      </w:r>
      <w:r>
        <w:t>where the structure, the naming conventions and relationships tell a necessary story to any informed reader.</w:t>
      </w:r>
    </w:p>
    <w:p w14:paraId="176C4011" w14:textId="2EE29AC7" w:rsidR="00232C95" w:rsidRDefault="00232C95" w:rsidP="00660FAD">
      <w:pPr>
        <w:pStyle w:val="ListParagraph"/>
        <w:ind w:left="567"/>
      </w:pPr>
    </w:p>
    <w:p w14:paraId="31ACB7B9" w14:textId="4C7E6C15" w:rsidR="00232C95" w:rsidRDefault="00232C95" w:rsidP="00450696">
      <w:pPr>
        <w:pStyle w:val="Heading1"/>
        <w:numPr>
          <w:ilvl w:val="0"/>
          <w:numId w:val="16"/>
        </w:numPr>
      </w:pPr>
      <w:bookmarkStart w:id="4" w:name="_Toc2946921"/>
      <w:r>
        <w:lastRenderedPageBreak/>
        <w:t>SVN repository</w:t>
      </w:r>
      <w:bookmarkEnd w:id="4"/>
    </w:p>
    <w:p w14:paraId="29053A59" w14:textId="489C1E35" w:rsidR="00232C95" w:rsidRDefault="00232C95" w:rsidP="00232C95"/>
    <w:p w14:paraId="283FA1BC" w14:textId="4537542A" w:rsidR="00232C95" w:rsidRDefault="00232C95" w:rsidP="00E62E83">
      <w:pPr>
        <w:ind w:left="567"/>
        <w:jc w:val="both"/>
      </w:pPr>
      <w:r>
        <w:t>The SVN repository is a normal file placed within the corporate network where it is suitably available for regular backups and access to by permitted users.</w:t>
      </w:r>
    </w:p>
    <w:p w14:paraId="5FE8BD57" w14:textId="578BFEC2" w:rsidR="00232C95" w:rsidRDefault="00232C95" w:rsidP="00E62E83">
      <w:pPr>
        <w:ind w:left="567"/>
        <w:jc w:val="both"/>
      </w:pPr>
      <w:r>
        <w:t>Currently the repository is located on the server known as - EPTBK02.</w:t>
      </w:r>
    </w:p>
    <w:p w14:paraId="15CE9470" w14:textId="525A84A7" w:rsidR="00232C95" w:rsidRDefault="00232C95" w:rsidP="00E62E83">
      <w:pPr>
        <w:ind w:left="567"/>
        <w:jc w:val="both"/>
      </w:pPr>
      <w:r>
        <w:t>Associated with the SVN repository is an SVN server designed to serve requests as authorised.</w:t>
      </w:r>
    </w:p>
    <w:p w14:paraId="486B2AEC" w14:textId="55056BDB" w:rsidR="00232C95" w:rsidRDefault="00232C95" w:rsidP="00E62E83">
      <w:pPr>
        <w:ind w:left="567"/>
        <w:jc w:val="both"/>
      </w:pPr>
      <w:r>
        <w:t xml:space="preserve">The SVN repository is backed-up using the SVN server functionality and is invoked using a *.bat file that run daily. The backup file is copied to </w:t>
      </w:r>
      <w:proofErr w:type="gramStart"/>
      <w:r>
        <w:t>an</w:t>
      </w:r>
      <w:proofErr w:type="gramEnd"/>
      <w:r>
        <w:t xml:space="preserve"> filesystem area designated for system wide backup services.</w:t>
      </w:r>
    </w:p>
    <w:p w14:paraId="4C07A4C6" w14:textId="6456564B" w:rsidR="00232C95" w:rsidRDefault="00232C95" w:rsidP="00E62E83">
      <w:pPr>
        <w:ind w:left="567"/>
        <w:jc w:val="both"/>
      </w:pPr>
      <w:r>
        <w:t xml:space="preserve">The functioning of the SVN </w:t>
      </w:r>
      <w:r w:rsidR="007C22B9">
        <w:t>system needs to be audited at regular intervals to ensure disaster recovery.</w:t>
      </w:r>
    </w:p>
    <w:p w14:paraId="073A50EF" w14:textId="3E265D3E" w:rsidR="007C22B9" w:rsidRDefault="007C22B9" w:rsidP="007C22B9">
      <w:pPr>
        <w:pStyle w:val="Heading1"/>
        <w:numPr>
          <w:ilvl w:val="0"/>
          <w:numId w:val="16"/>
        </w:numPr>
      </w:pPr>
      <w:bookmarkStart w:id="5" w:name="_Toc2946922"/>
      <w:r>
        <w:t>Tortoise SVN repo</w:t>
      </w:r>
      <w:r w:rsidR="008B1B2C">
        <w:t>sitory</w:t>
      </w:r>
      <w:bookmarkEnd w:id="5"/>
    </w:p>
    <w:p w14:paraId="60D3E39F" w14:textId="3BD02B45" w:rsidR="008B1B2C" w:rsidRDefault="008B1B2C" w:rsidP="008B1B2C"/>
    <w:p w14:paraId="3C18CE1C" w14:textId="35D294A9" w:rsidR="008B1B2C" w:rsidRDefault="008B1B2C" w:rsidP="00E62E83">
      <w:pPr>
        <w:ind w:left="567"/>
        <w:jc w:val="both"/>
      </w:pPr>
      <w:r>
        <w:t>The repository structure follows a logical path mapping to the various business focus points.</w:t>
      </w:r>
    </w:p>
    <w:p w14:paraId="6A9DE372" w14:textId="3F919661" w:rsidR="008B1B2C" w:rsidRDefault="008B1B2C" w:rsidP="00E62E83">
      <w:pPr>
        <w:ind w:left="567"/>
        <w:jc w:val="both"/>
      </w:pPr>
      <w:r>
        <w:t xml:space="preserve">The following images provide a </w:t>
      </w:r>
      <w:r w:rsidR="00E62E83">
        <w:t>high-level</w:t>
      </w:r>
      <w:r>
        <w:t xml:space="preserve"> view of the descending structure of files to system relationships other than cross-domain relationships that should be inferred by reviewing the actual source code</w:t>
      </w:r>
    </w:p>
    <w:p w14:paraId="229066C9" w14:textId="6309FEC9" w:rsidR="008B1B2C" w:rsidRPr="008B1B2C" w:rsidRDefault="008B1B2C" w:rsidP="008B1B2C">
      <w:pPr>
        <w:ind w:left="567"/>
        <w:rPr>
          <w:b/>
        </w:rPr>
      </w:pPr>
      <w:r w:rsidRPr="008B1B2C">
        <w:rPr>
          <w:b/>
        </w:rPr>
        <w:t>Image 5.1 provides a high-level view of where the SVN (</w:t>
      </w:r>
      <w:r w:rsidRPr="008B1B2C">
        <w:rPr>
          <w:b/>
          <w:i/>
        </w:rPr>
        <w:t>ePart</w:t>
      </w:r>
      <w:r w:rsidRPr="008B1B2C">
        <w:rPr>
          <w:b/>
        </w:rPr>
        <w:t>) repository starts at.</w:t>
      </w:r>
    </w:p>
    <w:p w14:paraId="06F4F8C3" w14:textId="7C612275" w:rsidR="008B1B2C" w:rsidRDefault="008B1B2C" w:rsidP="008B1B2C">
      <w:pPr>
        <w:ind w:left="567"/>
      </w:pPr>
      <w:r>
        <w:rPr>
          <w:noProof/>
        </w:rPr>
        <w:drawing>
          <wp:inline distT="0" distB="0" distL="0" distR="0" wp14:anchorId="1BF1171E" wp14:editId="3E4C3CA1">
            <wp:extent cx="4307840" cy="3266440"/>
            <wp:effectExtent l="0" t="0" r="0"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307840" cy="3266440"/>
                    </a:xfrm>
                    <a:prstGeom prst="rect">
                      <a:avLst/>
                    </a:prstGeom>
                    <a:noFill/>
                    <a:ln>
                      <a:noFill/>
                    </a:ln>
                  </pic:spPr>
                </pic:pic>
              </a:graphicData>
            </a:graphic>
          </wp:inline>
        </w:drawing>
      </w:r>
    </w:p>
    <w:p w14:paraId="3573EE3F" w14:textId="5417CA0F" w:rsidR="008B1B2C" w:rsidRDefault="008B1B2C" w:rsidP="008B1B2C">
      <w:pPr>
        <w:ind w:left="567"/>
      </w:pPr>
      <w:r>
        <w:t xml:space="preserve">To note is that the ePart sub directory is mapped back to the </w:t>
      </w:r>
      <w:r w:rsidR="00E62E83">
        <w:t>server-side</w:t>
      </w:r>
      <w:r>
        <w:t xml:space="preserve"> repository.</w:t>
      </w:r>
    </w:p>
    <w:p w14:paraId="42BF3C62" w14:textId="77777777" w:rsidR="008B1B2C" w:rsidRDefault="008B1B2C">
      <w:pPr>
        <w:rPr>
          <w:b/>
        </w:rPr>
      </w:pPr>
      <w:r>
        <w:rPr>
          <w:b/>
        </w:rPr>
        <w:br w:type="page"/>
      </w:r>
    </w:p>
    <w:p w14:paraId="6EDBC054" w14:textId="6629503C" w:rsidR="008B1B2C" w:rsidRDefault="008B1B2C" w:rsidP="008B1B2C">
      <w:pPr>
        <w:ind w:left="567"/>
        <w:rPr>
          <w:b/>
        </w:rPr>
      </w:pPr>
      <w:r>
        <w:rPr>
          <w:noProof/>
        </w:rPr>
        <w:lastRenderedPageBreak/>
        <w:drawing>
          <wp:anchor distT="0" distB="0" distL="114300" distR="114300" simplePos="0" relativeHeight="251658240" behindDoc="0" locked="0" layoutInCell="1" allowOverlap="1" wp14:anchorId="37146B76" wp14:editId="784A8853">
            <wp:simplePos x="0" y="0"/>
            <wp:positionH relativeFrom="column">
              <wp:posOffset>1966217</wp:posOffset>
            </wp:positionH>
            <wp:positionV relativeFrom="paragraph">
              <wp:posOffset>533327</wp:posOffset>
            </wp:positionV>
            <wp:extent cx="1496060" cy="4307840"/>
            <wp:effectExtent l="0" t="0" r="8890" b="0"/>
            <wp:wrapTopAndBottom/>
            <wp:docPr id="3"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96060" cy="4307840"/>
                    </a:xfrm>
                    <a:prstGeom prst="rect">
                      <a:avLst/>
                    </a:prstGeom>
                    <a:noFill/>
                    <a:ln>
                      <a:noFill/>
                    </a:ln>
                  </pic:spPr>
                </pic:pic>
              </a:graphicData>
            </a:graphic>
          </wp:anchor>
        </w:drawing>
      </w:r>
      <w:r w:rsidRPr="008B1B2C">
        <w:rPr>
          <w:b/>
        </w:rPr>
        <w:t>Image 5.</w:t>
      </w:r>
      <w:r>
        <w:rPr>
          <w:b/>
        </w:rPr>
        <w:t>2</w:t>
      </w:r>
      <w:r w:rsidRPr="008B1B2C">
        <w:rPr>
          <w:b/>
        </w:rPr>
        <w:t xml:space="preserve"> provides a high-level view of </w:t>
      </w:r>
      <w:r>
        <w:rPr>
          <w:b/>
        </w:rPr>
        <w:t>the various repository sub-sections that map to business / operational / systems centres</w:t>
      </w:r>
    </w:p>
    <w:p w14:paraId="43DDEB84" w14:textId="18CF5CD7" w:rsidR="008B1B2C" w:rsidRPr="008B1B2C" w:rsidRDefault="008B1B2C" w:rsidP="008B1B2C">
      <w:pPr>
        <w:ind w:left="567"/>
        <w:rPr>
          <w:b/>
        </w:rPr>
      </w:pPr>
    </w:p>
    <w:p w14:paraId="6389BB67" w14:textId="19D2CAE9" w:rsidR="008B1B2C" w:rsidRPr="008B1B2C" w:rsidRDefault="008B1B2C" w:rsidP="00E62E83">
      <w:pPr>
        <w:ind w:left="567"/>
        <w:jc w:val="both"/>
      </w:pPr>
      <w:bookmarkStart w:id="6" w:name="_GoBack"/>
      <w:r>
        <w:t xml:space="preserve">To note are the entries with a red exclamation mark that indicate source code changes that have not been sent to the SVN server. The main entry of concern to the reader is the entry </w:t>
      </w:r>
      <w:proofErr w:type="spellStart"/>
      <w:r>
        <w:rPr>
          <w:b/>
          <w:i/>
        </w:rPr>
        <w:t>CoreApp</w:t>
      </w:r>
      <w:proofErr w:type="spellEnd"/>
      <w:r>
        <w:t xml:space="preserve"> which contains the main set of ALL source code files, whereas the rest are </w:t>
      </w:r>
      <w:r>
        <w:rPr>
          <w:b/>
          <w:i/>
        </w:rPr>
        <w:t xml:space="preserve">non-core </w:t>
      </w:r>
      <w:r>
        <w:t xml:space="preserve">development, some of which is in production others are more administrative </w:t>
      </w:r>
      <w:r w:rsidR="00E62E83">
        <w:t>or</w:t>
      </w:r>
      <w:r>
        <w:t xml:space="preserve"> </w:t>
      </w:r>
      <w:r w:rsidR="00E62E83">
        <w:t>experimental; the last to ascertain a new developer platform when it still was relevant</w:t>
      </w:r>
      <w:r>
        <w:t>.</w:t>
      </w:r>
    </w:p>
    <w:bookmarkEnd w:id="6"/>
    <w:p w14:paraId="5FDE58BF" w14:textId="77777777" w:rsidR="00E53F00" w:rsidRDefault="00E53F00">
      <w:pPr>
        <w:rPr>
          <w:b/>
        </w:rPr>
      </w:pPr>
      <w:r>
        <w:rPr>
          <w:b/>
        </w:rPr>
        <w:br w:type="page"/>
      </w:r>
    </w:p>
    <w:p w14:paraId="0443382F" w14:textId="52B75FAD" w:rsidR="008B1B2C" w:rsidRDefault="008B1B2C" w:rsidP="008B1B2C">
      <w:pPr>
        <w:ind w:left="567"/>
      </w:pPr>
      <w:r w:rsidRPr="008B1B2C">
        <w:rPr>
          <w:b/>
        </w:rPr>
        <w:lastRenderedPageBreak/>
        <w:t>Image 5.</w:t>
      </w:r>
      <w:r>
        <w:rPr>
          <w:b/>
        </w:rPr>
        <w:t>3</w:t>
      </w:r>
      <w:r w:rsidRPr="008B1B2C">
        <w:rPr>
          <w:b/>
        </w:rPr>
        <w:t xml:space="preserve"> provides a high-level view of </w:t>
      </w:r>
      <w:r>
        <w:rPr>
          <w:b/>
        </w:rPr>
        <w:t>the various repository sub-sections that map to business / operational / systems centres</w:t>
      </w:r>
      <w:r>
        <w:rPr>
          <w:b/>
        </w:rPr>
        <w:t xml:space="preserve"> for the </w:t>
      </w:r>
      <w:r w:rsidR="00E53F00">
        <w:rPr>
          <w:b/>
        </w:rPr>
        <w:t xml:space="preserve">Main / </w:t>
      </w:r>
      <w:proofErr w:type="spellStart"/>
      <w:r w:rsidR="00E53F00">
        <w:rPr>
          <w:b/>
        </w:rPr>
        <w:t>CoreApp</w:t>
      </w:r>
      <w:proofErr w:type="spellEnd"/>
      <w:r w:rsidR="00E53F00">
        <w:rPr>
          <w:b/>
        </w:rPr>
        <w:t xml:space="preserve"> of ePart</w:t>
      </w:r>
    </w:p>
    <w:p w14:paraId="2186E68D" w14:textId="39C69C3F" w:rsidR="008B1B2C" w:rsidRDefault="00E53F00" w:rsidP="008B1B2C">
      <w:pPr>
        <w:ind w:left="567"/>
      </w:pPr>
      <w:r>
        <w:rPr>
          <w:noProof/>
        </w:rPr>
        <w:drawing>
          <wp:inline distT="0" distB="0" distL="0" distR="0" wp14:anchorId="4C657BC2" wp14:editId="139B9532">
            <wp:extent cx="1400671" cy="5284845"/>
            <wp:effectExtent l="0" t="0" r="9525" b="0"/>
            <wp:docPr id="4"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404995" cy="5301158"/>
                    </a:xfrm>
                    <a:prstGeom prst="rect">
                      <a:avLst/>
                    </a:prstGeom>
                    <a:noFill/>
                    <a:ln>
                      <a:noFill/>
                    </a:ln>
                  </pic:spPr>
                </pic:pic>
              </a:graphicData>
            </a:graphic>
          </wp:inline>
        </w:drawing>
      </w:r>
    </w:p>
    <w:p w14:paraId="56BAC911" w14:textId="77777777" w:rsidR="00E53F00" w:rsidRDefault="00E53F00">
      <w:pPr>
        <w:rPr>
          <w:b/>
        </w:rPr>
      </w:pPr>
      <w:r>
        <w:rPr>
          <w:b/>
        </w:rPr>
        <w:br w:type="page"/>
      </w:r>
    </w:p>
    <w:p w14:paraId="721124F1" w14:textId="7A1B070D" w:rsidR="00E53F00" w:rsidRDefault="00E53F00" w:rsidP="00E53F00">
      <w:pPr>
        <w:ind w:left="567"/>
        <w:rPr>
          <w:b/>
        </w:rPr>
      </w:pPr>
      <w:r w:rsidRPr="008B1B2C">
        <w:rPr>
          <w:b/>
        </w:rPr>
        <w:lastRenderedPageBreak/>
        <w:t>Image 5.</w:t>
      </w:r>
      <w:r>
        <w:rPr>
          <w:b/>
        </w:rPr>
        <w:t>4</w:t>
      </w:r>
      <w:r w:rsidRPr="008B1B2C">
        <w:rPr>
          <w:b/>
        </w:rPr>
        <w:t xml:space="preserve"> provides a high-level view of </w:t>
      </w:r>
      <w:r>
        <w:rPr>
          <w:b/>
        </w:rPr>
        <w:t xml:space="preserve">the various </w:t>
      </w:r>
      <w:r>
        <w:rPr>
          <w:b/>
        </w:rPr>
        <w:t>files that make up a sub system functionality</w:t>
      </w:r>
    </w:p>
    <w:p w14:paraId="02E6E494" w14:textId="30FB1D8C" w:rsidR="008B1B2C" w:rsidRDefault="00E53F00" w:rsidP="008B1B2C">
      <w:pPr>
        <w:ind w:left="567"/>
      </w:pPr>
      <w:r>
        <w:rPr>
          <w:noProof/>
        </w:rPr>
        <w:drawing>
          <wp:inline distT="0" distB="0" distL="0" distR="0" wp14:anchorId="5BA9D57A" wp14:editId="68AF87D6">
            <wp:extent cx="4307840" cy="982980"/>
            <wp:effectExtent l="0" t="0" r="0" b="7620"/>
            <wp:docPr id="5" name="Picture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307840" cy="982980"/>
                    </a:xfrm>
                    <a:prstGeom prst="rect">
                      <a:avLst/>
                    </a:prstGeom>
                    <a:noFill/>
                    <a:ln>
                      <a:noFill/>
                    </a:ln>
                  </pic:spPr>
                </pic:pic>
              </a:graphicData>
            </a:graphic>
          </wp:inline>
        </w:drawing>
      </w:r>
    </w:p>
    <w:p w14:paraId="01AF2E47" w14:textId="2F9230CF" w:rsidR="008B1B2C" w:rsidRDefault="00E53F00" w:rsidP="008B1B2C">
      <w:pPr>
        <w:ind w:left="567"/>
      </w:pPr>
      <w:r>
        <w:t>To note is that all the sub-directories denote either source code for C++ builder or database Stored procedures or Triggers</w:t>
      </w:r>
    </w:p>
    <w:p w14:paraId="4D643655" w14:textId="444A36BF" w:rsidR="00E53F00" w:rsidRDefault="00E53F00" w:rsidP="00E53F00">
      <w:pPr>
        <w:ind w:left="567"/>
        <w:rPr>
          <w:b/>
        </w:rPr>
      </w:pPr>
      <w:r w:rsidRPr="008B1B2C">
        <w:rPr>
          <w:b/>
        </w:rPr>
        <w:t>Image 5.</w:t>
      </w:r>
      <w:r>
        <w:rPr>
          <w:b/>
        </w:rPr>
        <w:t>5</w:t>
      </w:r>
      <w:r w:rsidRPr="008B1B2C">
        <w:rPr>
          <w:b/>
        </w:rPr>
        <w:t xml:space="preserve"> provides a high-level view of </w:t>
      </w:r>
      <w:r>
        <w:rPr>
          <w:b/>
        </w:rPr>
        <w:t xml:space="preserve">the various files that make up </w:t>
      </w:r>
      <w:r>
        <w:rPr>
          <w:b/>
        </w:rPr>
        <w:t>the related et of stored procedures</w:t>
      </w:r>
    </w:p>
    <w:p w14:paraId="1B5FBEDB" w14:textId="23B36988" w:rsidR="00E53F00" w:rsidRDefault="00E53F00" w:rsidP="008B1B2C">
      <w:pPr>
        <w:ind w:left="567"/>
      </w:pPr>
      <w:r>
        <w:rPr>
          <w:noProof/>
        </w:rPr>
        <w:drawing>
          <wp:inline distT="0" distB="0" distL="0" distR="0" wp14:anchorId="1EB7F758" wp14:editId="586B33E9">
            <wp:extent cx="4307840" cy="2092960"/>
            <wp:effectExtent l="0" t="0" r="0" b="2540"/>
            <wp:docPr id="6" name="Picture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07840" cy="2092960"/>
                    </a:xfrm>
                    <a:prstGeom prst="rect">
                      <a:avLst/>
                    </a:prstGeom>
                    <a:noFill/>
                    <a:ln>
                      <a:noFill/>
                    </a:ln>
                  </pic:spPr>
                </pic:pic>
              </a:graphicData>
            </a:graphic>
          </wp:inline>
        </w:drawing>
      </w:r>
    </w:p>
    <w:p w14:paraId="76B2B59F" w14:textId="77777777" w:rsidR="00E53F00" w:rsidRPr="008B1B2C" w:rsidRDefault="00E53F00" w:rsidP="008B1B2C">
      <w:pPr>
        <w:ind w:left="567"/>
      </w:pPr>
    </w:p>
    <w:p w14:paraId="28CB47CE" w14:textId="23D39650" w:rsidR="007C22B9" w:rsidRDefault="007C22B9" w:rsidP="007C22B9">
      <w:pPr>
        <w:pStyle w:val="Heading1"/>
        <w:numPr>
          <w:ilvl w:val="0"/>
          <w:numId w:val="16"/>
        </w:numPr>
      </w:pPr>
      <w:bookmarkStart w:id="7" w:name="_Toc2946923"/>
      <w:r>
        <w:t xml:space="preserve">Tortoise SVN </w:t>
      </w:r>
      <w:r w:rsidRPr="007C22B9">
        <w:rPr>
          <w:b/>
          <w:i/>
        </w:rPr>
        <w:t>how to</w:t>
      </w:r>
      <w:r>
        <w:t xml:space="preserve"> overview</w:t>
      </w:r>
      <w:bookmarkEnd w:id="7"/>
    </w:p>
    <w:p w14:paraId="33AC3836" w14:textId="7855CD6C" w:rsidR="007C22B9" w:rsidRDefault="007C22B9" w:rsidP="007C22B9"/>
    <w:p w14:paraId="0EB69EC6" w14:textId="48A29141" w:rsidR="008B1B2C" w:rsidRDefault="008B1B2C" w:rsidP="008B1B2C">
      <w:pPr>
        <w:ind w:left="567"/>
      </w:pPr>
      <w:r>
        <w:t>Tortoise SVN integrates well with Windows Explorer by adding functionality suitable for the manipulation of the SVN structure.</w:t>
      </w:r>
    </w:p>
    <w:p w14:paraId="096C8915" w14:textId="77777777" w:rsidR="007C22B9" w:rsidRPr="007C22B9" w:rsidRDefault="007C22B9" w:rsidP="007C22B9"/>
    <w:p w14:paraId="47F76E36" w14:textId="67CFC527" w:rsidR="007C22B9" w:rsidRDefault="007C22B9" w:rsidP="007C22B9">
      <w:pPr>
        <w:pStyle w:val="Heading1"/>
        <w:numPr>
          <w:ilvl w:val="0"/>
          <w:numId w:val="16"/>
        </w:numPr>
      </w:pPr>
      <w:bookmarkStart w:id="8" w:name="_Toc2946924"/>
      <w:r>
        <w:t xml:space="preserve">SVN </w:t>
      </w:r>
      <w:r>
        <w:t>specifics</w:t>
      </w:r>
      <w:bookmarkEnd w:id="8"/>
    </w:p>
    <w:p w14:paraId="74FFDB03" w14:textId="77777777" w:rsidR="007C22B9" w:rsidRPr="007C22B9" w:rsidRDefault="007C22B9" w:rsidP="007C22B9"/>
    <w:tbl>
      <w:tblPr>
        <w:tblStyle w:val="TableGrid"/>
        <w:tblW w:w="0" w:type="auto"/>
        <w:tblInd w:w="567" w:type="dxa"/>
        <w:tblLook w:val="04A0" w:firstRow="1" w:lastRow="0" w:firstColumn="1" w:lastColumn="0" w:noHBand="0" w:noVBand="1"/>
      </w:tblPr>
      <w:tblGrid>
        <w:gridCol w:w="562"/>
        <w:gridCol w:w="3969"/>
        <w:gridCol w:w="3918"/>
      </w:tblGrid>
      <w:tr w:rsidR="007C22B9" w14:paraId="762E5FCF" w14:textId="77777777" w:rsidTr="007C22B9">
        <w:tc>
          <w:tcPr>
            <w:tcW w:w="562" w:type="dxa"/>
          </w:tcPr>
          <w:p w14:paraId="6690A950" w14:textId="1520B66B" w:rsidR="007C22B9" w:rsidRDefault="007C22B9" w:rsidP="00232C95">
            <w:r>
              <w:t>#</w:t>
            </w:r>
          </w:p>
        </w:tc>
        <w:tc>
          <w:tcPr>
            <w:tcW w:w="3969" w:type="dxa"/>
          </w:tcPr>
          <w:p w14:paraId="56BC5424" w14:textId="65E48206" w:rsidR="007C22B9" w:rsidRDefault="007C22B9" w:rsidP="00232C95">
            <w:r>
              <w:t>Function</w:t>
            </w:r>
          </w:p>
        </w:tc>
        <w:tc>
          <w:tcPr>
            <w:tcW w:w="3918" w:type="dxa"/>
          </w:tcPr>
          <w:p w14:paraId="11F4C4CB" w14:textId="14FCF64C" w:rsidR="007C22B9" w:rsidRDefault="007C22B9" w:rsidP="00232C95">
            <w:r>
              <w:t>Technical detail</w:t>
            </w:r>
          </w:p>
        </w:tc>
      </w:tr>
      <w:tr w:rsidR="007C22B9" w14:paraId="515F38E0" w14:textId="77777777" w:rsidTr="007C22B9">
        <w:tc>
          <w:tcPr>
            <w:tcW w:w="562" w:type="dxa"/>
          </w:tcPr>
          <w:p w14:paraId="6C1E6DA6" w14:textId="478189D7" w:rsidR="007C22B9" w:rsidRDefault="007C22B9" w:rsidP="00232C95">
            <w:r>
              <w:t>1</w:t>
            </w:r>
          </w:p>
        </w:tc>
        <w:tc>
          <w:tcPr>
            <w:tcW w:w="3969" w:type="dxa"/>
          </w:tcPr>
          <w:p w14:paraId="66617768" w14:textId="2DE4CDA2" w:rsidR="007C22B9" w:rsidRDefault="007C22B9" w:rsidP="00232C95">
            <w:r>
              <w:t>SVN server</w:t>
            </w:r>
          </w:p>
        </w:tc>
        <w:tc>
          <w:tcPr>
            <w:tcW w:w="3918" w:type="dxa"/>
          </w:tcPr>
          <w:p w14:paraId="442EC598" w14:textId="613CF16C" w:rsidR="007C22B9" w:rsidRDefault="007C22B9" w:rsidP="00232C95">
            <w:r>
              <w:t>URL from internet to re-instate</w:t>
            </w:r>
          </w:p>
        </w:tc>
      </w:tr>
      <w:tr w:rsidR="007C22B9" w14:paraId="68BCC485" w14:textId="77777777" w:rsidTr="007C22B9">
        <w:tc>
          <w:tcPr>
            <w:tcW w:w="562" w:type="dxa"/>
          </w:tcPr>
          <w:p w14:paraId="4D15CF5A" w14:textId="7A06AA3A" w:rsidR="007C22B9" w:rsidRDefault="007C22B9" w:rsidP="00232C95">
            <w:r>
              <w:t>2</w:t>
            </w:r>
          </w:p>
        </w:tc>
        <w:tc>
          <w:tcPr>
            <w:tcW w:w="3969" w:type="dxa"/>
          </w:tcPr>
          <w:p w14:paraId="58C091B3" w14:textId="3A5F632E" w:rsidR="007C22B9" w:rsidRDefault="007C22B9" w:rsidP="00232C95">
            <w:r>
              <w:t>Server installed on</w:t>
            </w:r>
          </w:p>
        </w:tc>
        <w:tc>
          <w:tcPr>
            <w:tcW w:w="3918" w:type="dxa"/>
          </w:tcPr>
          <w:p w14:paraId="6EA27058" w14:textId="77777777" w:rsidR="007C22B9" w:rsidRDefault="007C22B9" w:rsidP="00232C95"/>
        </w:tc>
      </w:tr>
      <w:tr w:rsidR="007C22B9" w14:paraId="54FB37DD" w14:textId="77777777" w:rsidTr="007C22B9">
        <w:tc>
          <w:tcPr>
            <w:tcW w:w="562" w:type="dxa"/>
          </w:tcPr>
          <w:p w14:paraId="2CCC1987" w14:textId="786CA3A4" w:rsidR="007C22B9" w:rsidRDefault="007C22B9" w:rsidP="00232C95">
            <w:r>
              <w:t>3</w:t>
            </w:r>
          </w:p>
        </w:tc>
        <w:tc>
          <w:tcPr>
            <w:tcW w:w="3969" w:type="dxa"/>
          </w:tcPr>
          <w:p w14:paraId="2CFC2982" w14:textId="4A8DC85E" w:rsidR="007C22B9" w:rsidRDefault="007C22B9" w:rsidP="00232C95">
            <w:r>
              <w:t>SVN server running</w:t>
            </w:r>
          </w:p>
        </w:tc>
        <w:tc>
          <w:tcPr>
            <w:tcW w:w="3918" w:type="dxa"/>
          </w:tcPr>
          <w:p w14:paraId="60D1356B" w14:textId="0149C421" w:rsidR="007C22B9" w:rsidRDefault="007C22B9" w:rsidP="00232C95">
            <w:r>
              <w:t>Start-up etc</w:t>
            </w:r>
          </w:p>
        </w:tc>
      </w:tr>
      <w:tr w:rsidR="007C22B9" w14:paraId="657CFE8B" w14:textId="77777777" w:rsidTr="007C22B9">
        <w:tc>
          <w:tcPr>
            <w:tcW w:w="562" w:type="dxa"/>
          </w:tcPr>
          <w:p w14:paraId="449B0C00" w14:textId="05F5D0ED" w:rsidR="007C22B9" w:rsidRDefault="007C22B9" w:rsidP="00232C95">
            <w:r>
              <w:t>4</w:t>
            </w:r>
          </w:p>
        </w:tc>
        <w:tc>
          <w:tcPr>
            <w:tcW w:w="3969" w:type="dxa"/>
          </w:tcPr>
          <w:p w14:paraId="0B28395D" w14:textId="2EB29D52" w:rsidR="007C22B9" w:rsidRDefault="007C22B9" w:rsidP="00232C95">
            <w:r>
              <w:t xml:space="preserve">Daily backup BAT file </w:t>
            </w:r>
          </w:p>
        </w:tc>
        <w:tc>
          <w:tcPr>
            <w:tcW w:w="3918" w:type="dxa"/>
          </w:tcPr>
          <w:p w14:paraId="212D64B4" w14:textId="154A3147" w:rsidR="007C22B9" w:rsidRDefault="007C22B9" w:rsidP="00232C95">
            <w:r>
              <w:t>used to generate backup and to copy to backup area</w:t>
            </w:r>
          </w:p>
        </w:tc>
      </w:tr>
      <w:tr w:rsidR="007C22B9" w14:paraId="4AB5C6FE" w14:textId="77777777" w:rsidTr="007C22B9">
        <w:tc>
          <w:tcPr>
            <w:tcW w:w="562" w:type="dxa"/>
          </w:tcPr>
          <w:p w14:paraId="716BAE2A" w14:textId="3A9FD7AA" w:rsidR="007C22B9" w:rsidRDefault="007C22B9" w:rsidP="00232C95">
            <w:r>
              <w:t>5</w:t>
            </w:r>
          </w:p>
        </w:tc>
        <w:tc>
          <w:tcPr>
            <w:tcW w:w="3969" w:type="dxa"/>
          </w:tcPr>
          <w:p w14:paraId="4B0575FF" w14:textId="5322EE7D" w:rsidR="007C22B9" w:rsidRDefault="007C22B9" w:rsidP="00232C95">
            <w:r>
              <w:t>Tortoise</w:t>
            </w:r>
            <w:r>
              <w:t xml:space="preserve"> SVN</w:t>
            </w:r>
          </w:p>
        </w:tc>
        <w:tc>
          <w:tcPr>
            <w:tcW w:w="3918" w:type="dxa"/>
          </w:tcPr>
          <w:p w14:paraId="2B8C917A" w14:textId="0E339DA3" w:rsidR="007C22B9" w:rsidRDefault="007C22B9" w:rsidP="00232C95">
            <w:r>
              <w:t>Desktop installation and Windows explorer integration</w:t>
            </w:r>
          </w:p>
        </w:tc>
      </w:tr>
      <w:tr w:rsidR="007C22B9" w14:paraId="3E3AB0BF" w14:textId="77777777" w:rsidTr="007C22B9">
        <w:tc>
          <w:tcPr>
            <w:tcW w:w="562" w:type="dxa"/>
          </w:tcPr>
          <w:p w14:paraId="0EF7B29F" w14:textId="6C9B6A0C" w:rsidR="007C22B9" w:rsidRDefault="007C22B9" w:rsidP="00232C95">
            <w:r>
              <w:t>6</w:t>
            </w:r>
          </w:p>
        </w:tc>
        <w:tc>
          <w:tcPr>
            <w:tcW w:w="3969" w:type="dxa"/>
          </w:tcPr>
          <w:p w14:paraId="4F8C4312" w14:textId="132E30A4" w:rsidR="007C22B9" w:rsidRDefault="007C22B9" w:rsidP="00232C95">
            <w:r>
              <w:t>Tortoise SVN user guide</w:t>
            </w:r>
          </w:p>
        </w:tc>
        <w:tc>
          <w:tcPr>
            <w:tcW w:w="3918" w:type="dxa"/>
          </w:tcPr>
          <w:p w14:paraId="52F5E40D" w14:textId="7A033331" w:rsidR="007C22B9" w:rsidRDefault="007C22B9" w:rsidP="00232C95">
            <w:r>
              <w:t>Internet URL</w:t>
            </w:r>
          </w:p>
        </w:tc>
      </w:tr>
    </w:tbl>
    <w:p w14:paraId="196F10AE" w14:textId="77777777" w:rsidR="00F5622E" w:rsidRDefault="00DB130A" w:rsidP="000868A2">
      <w:pPr>
        <w:pStyle w:val="Heading1"/>
        <w:numPr>
          <w:ilvl w:val="0"/>
          <w:numId w:val="16"/>
        </w:numPr>
      </w:pPr>
      <w:bookmarkStart w:id="9" w:name="_Toc2946925"/>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AAEC9" w14:textId="77777777" w:rsidR="001075FD" w:rsidRDefault="001075FD" w:rsidP="005E292E">
      <w:pPr>
        <w:spacing w:after="0" w:line="240" w:lineRule="auto"/>
      </w:pPr>
      <w:r>
        <w:separator/>
      </w:r>
    </w:p>
  </w:endnote>
  <w:endnote w:type="continuationSeparator" w:id="0">
    <w:p w14:paraId="5993DBAC" w14:textId="77777777" w:rsidR="001075FD" w:rsidRDefault="001075FD"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67024" w14:textId="77777777" w:rsidR="001075FD" w:rsidRDefault="001075FD" w:rsidP="005E292E">
      <w:pPr>
        <w:spacing w:after="0" w:line="240" w:lineRule="auto"/>
      </w:pPr>
      <w:r>
        <w:separator/>
      </w:r>
    </w:p>
  </w:footnote>
  <w:footnote w:type="continuationSeparator" w:id="0">
    <w:p w14:paraId="2B0808E0" w14:textId="77777777" w:rsidR="001075FD" w:rsidRDefault="001075FD"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68D4F315" w:rsidR="006E3EF6" w:rsidRDefault="00413E33" w:rsidP="00413E33">
    <w:pPr>
      <w:pStyle w:val="Header"/>
      <w:rPr>
        <w:b/>
        <w:sz w:val="18"/>
      </w:rPr>
    </w:pPr>
    <w:r w:rsidRPr="00413E33">
      <w:rPr>
        <w:b/>
        <w:sz w:val="18"/>
      </w:rPr>
      <w:t xml:space="preserve">The objective of this document </w:t>
    </w:r>
    <w:r w:rsidR="00232C95">
      <w:rPr>
        <w:b/>
        <w:sz w:val="18"/>
      </w:rPr>
      <w:t>describes, in a high-level manner, the ePart source code governance</w:t>
    </w:r>
  </w:p>
  <w:p w14:paraId="74F1ABF1" w14:textId="77777777" w:rsidR="00232C95" w:rsidRPr="00413E33" w:rsidRDefault="00232C95" w:rsidP="00413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A744C9"/>
    <w:multiLevelType w:val="hybridMultilevel"/>
    <w:tmpl w:val="37366DE8"/>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8"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25"/>
  </w:num>
  <w:num w:numId="4">
    <w:abstractNumId w:val="18"/>
  </w:num>
  <w:num w:numId="5">
    <w:abstractNumId w:val="3"/>
  </w:num>
  <w:num w:numId="6">
    <w:abstractNumId w:val="32"/>
  </w:num>
  <w:num w:numId="7">
    <w:abstractNumId w:val="33"/>
  </w:num>
  <w:num w:numId="8">
    <w:abstractNumId w:val="8"/>
  </w:num>
  <w:num w:numId="9">
    <w:abstractNumId w:val="13"/>
  </w:num>
  <w:num w:numId="10">
    <w:abstractNumId w:val="23"/>
  </w:num>
  <w:num w:numId="11">
    <w:abstractNumId w:val="7"/>
  </w:num>
  <w:num w:numId="12">
    <w:abstractNumId w:val="29"/>
  </w:num>
  <w:num w:numId="13">
    <w:abstractNumId w:val="35"/>
  </w:num>
  <w:num w:numId="14">
    <w:abstractNumId w:val="14"/>
  </w:num>
  <w:num w:numId="15">
    <w:abstractNumId w:val="9"/>
  </w:num>
  <w:num w:numId="16">
    <w:abstractNumId w:val="17"/>
  </w:num>
  <w:num w:numId="17">
    <w:abstractNumId w:val="0"/>
  </w:num>
  <w:num w:numId="18">
    <w:abstractNumId w:val="11"/>
  </w:num>
  <w:num w:numId="19">
    <w:abstractNumId w:val="15"/>
  </w:num>
  <w:num w:numId="20">
    <w:abstractNumId w:val="12"/>
  </w:num>
  <w:num w:numId="21">
    <w:abstractNumId w:val="34"/>
  </w:num>
  <w:num w:numId="22">
    <w:abstractNumId w:val="19"/>
  </w:num>
  <w:num w:numId="23">
    <w:abstractNumId w:val="6"/>
  </w:num>
  <w:num w:numId="24">
    <w:abstractNumId w:val="27"/>
  </w:num>
  <w:num w:numId="25">
    <w:abstractNumId w:val="31"/>
  </w:num>
  <w:num w:numId="26">
    <w:abstractNumId w:val="10"/>
  </w:num>
  <w:num w:numId="27">
    <w:abstractNumId w:val="30"/>
  </w:num>
  <w:num w:numId="28">
    <w:abstractNumId w:val="28"/>
  </w:num>
  <w:num w:numId="29">
    <w:abstractNumId w:val="2"/>
  </w:num>
  <w:num w:numId="30">
    <w:abstractNumId w:val="26"/>
  </w:num>
  <w:num w:numId="31">
    <w:abstractNumId w:val="20"/>
  </w:num>
  <w:num w:numId="32">
    <w:abstractNumId w:val="24"/>
  </w:num>
  <w:num w:numId="33">
    <w:abstractNumId w:val="4"/>
  </w:num>
  <w:num w:numId="34">
    <w:abstractNumId w:val="21"/>
  </w:num>
  <w:num w:numId="35">
    <w:abstractNumId w:val="22"/>
  </w:num>
  <w:num w:numId="3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075FD"/>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4CB"/>
    <w:rsid w:val="0021163C"/>
    <w:rsid w:val="00216830"/>
    <w:rsid w:val="00216BF5"/>
    <w:rsid w:val="00216F85"/>
    <w:rsid w:val="00220AAA"/>
    <w:rsid w:val="00221990"/>
    <w:rsid w:val="00221B32"/>
    <w:rsid w:val="0022553C"/>
    <w:rsid w:val="00232C95"/>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496A"/>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5A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22B9"/>
    <w:rsid w:val="007C4EF9"/>
    <w:rsid w:val="007D4D43"/>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1B2C"/>
    <w:rsid w:val="008B59B8"/>
    <w:rsid w:val="008B5A73"/>
    <w:rsid w:val="008B76E0"/>
    <w:rsid w:val="008B7794"/>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53F00"/>
    <w:rsid w:val="00E600F7"/>
    <w:rsid w:val="00E60AB8"/>
    <w:rsid w:val="00E61535"/>
    <w:rsid w:val="00E62E83"/>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1AD0"/>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88392182">
      <w:bodyDiv w:val="1"/>
      <w:marLeft w:val="0"/>
      <w:marRight w:val="0"/>
      <w:marTop w:val="0"/>
      <w:marBottom w:val="0"/>
      <w:divBdr>
        <w:top w:val="none" w:sz="0" w:space="0" w:color="auto"/>
        <w:left w:val="none" w:sz="0" w:space="0" w:color="auto"/>
        <w:bottom w:val="none" w:sz="0" w:space="0" w:color="auto"/>
        <w:right w:val="none" w:sz="0" w:space="0" w:color="auto"/>
      </w:divBdr>
      <w:divsChild>
        <w:div w:id="297346851">
          <w:marLeft w:val="0"/>
          <w:marRight w:val="0"/>
          <w:marTop w:val="0"/>
          <w:marBottom w:val="0"/>
          <w:divBdr>
            <w:top w:val="none" w:sz="0" w:space="0" w:color="auto"/>
            <w:left w:val="none" w:sz="0" w:space="0" w:color="auto"/>
            <w:bottom w:val="none" w:sz="0" w:space="0" w:color="auto"/>
            <w:right w:val="none" w:sz="0" w:space="0" w:color="auto"/>
          </w:divBdr>
        </w:div>
        <w:div w:id="77295725">
          <w:marLeft w:val="0"/>
          <w:marRight w:val="0"/>
          <w:marTop w:val="0"/>
          <w:marBottom w:val="0"/>
          <w:divBdr>
            <w:top w:val="none" w:sz="0" w:space="0" w:color="auto"/>
            <w:left w:val="none" w:sz="0" w:space="0" w:color="auto"/>
            <w:bottom w:val="none" w:sz="0" w:space="0" w:color="auto"/>
            <w:right w:val="none" w:sz="0" w:space="0" w:color="auto"/>
          </w:divBdr>
        </w:div>
        <w:div w:id="625623945">
          <w:marLeft w:val="0"/>
          <w:marRight w:val="0"/>
          <w:marTop w:val="0"/>
          <w:marBottom w:val="0"/>
          <w:divBdr>
            <w:top w:val="none" w:sz="0" w:space="0" w:color="auto"/>
            <w:left w:val="none" w:sz="0" w:space="0" w:color="auto"/>
            <w:bottom w:val="none" w:sz="0" w:space="0" w:color="auto"/>
            <w:right w:val="none" w:sz="0" w:space="0" w:color="auto"/>
          </w:divBdr>
        </w:div>
      </w:divsChild>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i_jt00e63i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cid:ii_jt00h4h9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i_jt00crjl0" TargetMode="External"/><Relationship Id="rId5" Type="http://schemas.openxmlformats.org/officeDocument/2006/relationships/settings" Target="settings.xml"/><Relationship Id="rId15" Type="http://schemas.openxmlformats.org/officeDocument/2006/relationships/image" Target="cid:ii_jt00fa6p0"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cid:ii_jt00hukm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ePart consist of a significant size of source code, critical to ePart that Engineparts exclusively relies on for its business processes. As such it is mission critical and requires good governance, the how that this document intends addressing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BBD88-37A3-406F-BA6B-03087BBA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17</cp:revision>
  <cp:lastPrinted>2018-03-22T15:58:00Z</cp:lastPrinted>
  <dcterms:created xsi:type="dcterms:W3CDTF">2018-09-18T08:40:00Z</dcterms:created>
  <dcterms:modified xsi:type="dcterms:W3CDTF">2019-03-08T12:18:00Z</dcterms:modified>
</cp:coreProperties>
</file>