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F30E28" w:rsidRDefault="00F30E28">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F30E28" w:rsidRDefault="00F30E28">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F30E28" w:rsidRPr="00F77ACA" w:rsidRDefault="00F30E28">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F30E28" w:rsidRDefault="00F30E28">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F30E28" w:rsidRDefault="00F30E28">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F30E28" w:rsidRPr="00F77ACA" w:rsidRDefault="00F30E28">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F30E28" w:rsidRDefault="00F30E28"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F30E28" w:rsidRPr="00A25372" w:rsidRDefault="00F30E28"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F30E28" w:rsidRDefault="00F30E28"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F30E28" w:rsidRDefault="00F30E28"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7B51C37F" w14:textId="7E71CE4B" w:rsidR="00F30E28" w:rsidRPr="00A25372" w:rsidRDefault="00F30E28"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F30E28" w:rsidRDefault="00F30E28"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F30E28" w:rsidRDefault="00F30E28">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F30E28" w:rsidRPr="006E3EF6" w:rsidRDefault="00F30E28">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F30E28" w:rsidRDefault="00F30E28">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F30E28" w:rsidRPr="006E3EF6" w:rsidRDefault="00F30E28">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F30E28" w:rsidRPr="001247AE" w:rsidRDefault="00F30E28"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F30E28" w:rsidRPr="001247AE" w:rsidRDefault="00F30E28"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r>
        <w:t>Stocking Item (SKU) Maintenance</w:t>
      </w:r>
    </w:p>
    <w:p w14:paraId="296C1104" w14:textId="2647DB57" w:rsidR="00D9626A" w:rsidRDefault="00D9626A" w:rsidP="00D9626A">
      <w:pPr>
        <w:pStyle w:val="Heading2"/>
        <w:numPr>
          <w:ilvl w:val="1"/>
          <w:numId w:val="16"/>
        </w:numPr>
      </w:pPr>
      <w:r>
        <w:t>Group Code maintenance</w:t>
      </w:r>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 xml:space="preserve">Block ‘ALL’ Search. This prevents searching across ALL serial numbers in a group code forcing the person with </w:t>
      </w:r>
      <w:proofErr w:type="gramStart"/>
      <w:r>
        <w:t>a</w:t>
      </w:r>
      <w:proofErr w:type="gramEnd"/>
      <w:r>
        <w:t xml:space="preserve">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 xml:space="preserve">Note that the user interface has </w:t>
      </w:r>
      <w:proofErr w:type="gramStart"/>
      <w:r>
        <w:t>a number of</w:t>
      </w:r>
      <w:proofErr w:type="gramEnd"/>
      <w:r>
        <w:t xml:space="preserve">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w:t>
      </w:r>
      <w:proofErr w:type="gramStart"/>
      <w:r>
        <w:t>a number of</w:t>
      </w:r>
      <w:proofErr w:type="gramEnd"/>
      <w:r>
        <w:t xml:space="preserve">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r>
        <w:t>Base Item maintenance</w:t>
      </w:r>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w:t>
      </w:r>
      <w:proofErr w:type="gramStart"/>
      <w:r>
        <w:t>-“ from</w:t>
      </w:r>
      <w:proofErr w:type="gramEnd"/>
      <w:r>
        <w:t xml:space="preserve"> the content as can be seen. This must be analysed in detail to assess if suppliers may use the “</w:t>
      </w:r>
      <w:proofErr w:type="gramStart"/>
      <w:r>
        <w:t>-“ as</w:t>
      </w:r>
      <w:proofErr w:type="gramEnd"/>
      <w:r>
        <w:t xml:space="preserve">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r>
        <w:lastRenderedPageBreak/>
        <w:t>Catalogue – Bill of material node maintenance</w:t>
      </w:r>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11A35090" w:rsidR="0018751E" w:rsidRPr="0018751E" w:rsidRDefault="0018751E" w:rsidP="004558B2">
      <w:pPr>
        <w:jc w:val="both"/>
      </w:pPr>
      <w:r>
        <w:t xml:space="preserve">In this instance the example shown depicts attributes for an </w:t>
      </w:r>
      <w:r>
        <w:rPr>
          <w:b/>
          <w:i/>
        </w:rPr>
        <w:t>engine</w:t>
      </w:r>
      <w:r>
        <w:t>.</w:t>
      </w:r>
      <w:bookmarkStart w:id="9" w:name="_GoBack"/>
      <w:bookmarkEnd w:id="9"/>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22994527" w14:textId="2325872C" w:rsidR="00332686" w:rsidRDefault="00332686" w:rsidP="00F30E28">
      <w:pPr>
        <w:pStyle w:val="Heading2"/>
        <w:numPr>
          <w:ilvl w:val="1"/>
          <w:numId w:val="16"/>
        </w:numPr>
      </w:pPr>
      <w:r>
        <w:t>Stock Mark-up workbench</w:t>
      </w:r>
    </w:p>
    <w:p w14:paraId="5B13A9EB" w14:textId="77777777" w:rsidR="008A000C" w:rsidRDefault="008A000C" w:rsidP="00332686"/>
    <w:p w14:paraId="02DFD68E" w14:textId="2DD6B2F4" w:rsidR="008A000C" w:rsidRDefault="008A000C" w:rsidP="00332686">
      <w:r>
        <w:lastRenderedPageBreak/>
        <w:t xml:space="preserve">The </w:t>
      </w:r>
      <w:r>
        <w:rPr>
          <w:b/>
          <w:i/>
        </w:rPr>
        <w:t>Mark-up Workbench</w:t>
      </w:r>
      <w:r>
        <w:t xml:space="preserve"> functionality is where end users </w:t>
      </w:r>
      <w:proofErr w:type="gramStart"/>
      <w:r>
        <w:t>are able to</w:t>
      </w:r>
      <w:proofErr w:type="gramEnd"/>
      <w:r>
        <w:t xml:space="preserve"> bring the backend of the business into a consolidated view where maintenance is done to ensure that the base calculations, pre-customer discounts, are optimally structured.</w:t>
      </w:r>
    </w:p>
    <w:p w14:paraId="71BF5795" w14:textId="32B873D7" w:rsidR="00332686" w:rsidRPr="008A000C" w:rsidRDefault="008A000C" w:rsidP="00332686">
      <w:r>
        <w:rPr>
          <w:noProof/>
        </w:rPr>
        <w:drawing>
          <wp:anchor distT="0" distB="0" distL="114300" distR="114300" simplePos="0" relativeHeight="251701248" behindDoc="0" locked="0" layoutInCell="1" allowOverlap="1" wp14:anchorId="2603D954" wp14:editId="72FB7D65">
            <wp:simplePos x="0" y="0"/>
            <wp:positionH relativeFrom="column">
              <wp:posOffset>-266065</wp:posOffset>
            </wp:positionH>
            <wp:positionV relativeFrom="paragraph">
              <wp:posOffset>481214</wp:posOffset>
            </wp:positionV>
            <wp:extent cx="6732905" cy="3856990"/>
            <wp:effectExtent l="0" t="0" r="0" b="0"/>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732905" cy="3856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 monthly trend graph is available for monthly sales to assist in defining the optimal pricing constructs.</w:t>
      </w:r>
    </w:p>
    <w:p w14:paraId="64C66775" w14:textId="0D207F18" w:rsidR="00332686" w:rsidRPr="00332686" w:rsidRDefault="00332686" w:rsidP="00332686"/>
    <w:p w14:paraId="78176A5A" w14:textId="77777777" w:rsidR="008A000C" w:rsidRDefault="008A000C">
      <w:pPr>
        <w:rPr>
          <w:rFonts w:asciiTheme="majorHAnsi" w:eastAsiaTheme="majorEastAsia" w:hAnsiTheme="majorHAnsi" w:cstheme="majorBidi"/>
          <w:color w:val="2F5496" w:themeColor="accent1" w:themeShade="BF"/>
          <w:sz w:val="26"/>
          <w:szCs w:val="26"/>
        </w:rPr>
      </w:pPr>
      <w:r>
        <w:br w:type="page"/>
      </w:r>
    </w:p>
    <w:p w14:paraId="552FED73" w14:textId="6940DAD1" w:rsidR="00F30E28" w:rsidRDefault="00332686" w:rsidP="00F30E28">
      <w:pPr>
        <w:pStyle w:val="Heading2"/>
        <w:numPr>
          <w:ilvl w:val="1"/>
          <w:numId w:val="16"/>
        </w:numPr>
      </w:pPr>
      <w:r>
        <w:lastRenderedPageBreak/>
        <w:t xml:space="preserve">Catalogue </w:t>
      </w:r>
      <w:r w:rsidR="00F30E28">
        <w:t>Supplier Price Maintenance</w:t>
      </w:r>
    </w:p>
    <w:p w14:paraId="66508681" w14:textId="3A44F5CE" w:rsidR="00F30E28" w:rsidRDefault="00F30E28" w:rsidP="00F30E28"/>
    <w:p w14:paraId="0296ABBE" w14:textId="2B4B6175" w:rsidR="00F30E28" w:rsidRDefault="00F30E28" w:rsidP="00025D05">
      <w:pPr>
        <w:jc w:val="both"/>
      </w:pPr>
      <w:r>
        <w:t xml:space="preserve">In addition to the automated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35491637"/>
      <w:r>
        <w:lastRenderedPageBreak/>
        <w:t>Database entities and relationships</w:t>
      </w:r>
      <w:bookmarkEnd w:id="10"/>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35491638"/>
      <w:r>
        <w:lastRenderedPageBreak/>
        <w:t>Programs</w:t>
      </w:r>
      <w:bookmarkEnd w:id="11"/>
    </w:p>
    <w:p w14:paraId="632647ED" w14:textId="77777777" w:rsidR="004D4FE6" w:rsidRDefault="004D4FE6" w:rsidP="001B097D">
      <w:pPr>
        <w:pStyle w:val="Heading1"/>
        <w:numPr>
          <w:ilvl w:val="1"/>
          <w:numId w:val="16"/>
        </w:numPr>
      </w:pPr>
      <w:bookmarkStart w:id="12" w:name="_Toc535491639"/>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35491640"/>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35491641"/>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C63B5" w14:textId="77777777" w:rsidR="00286A74" w:rsidRDefault="00286A74" w:rsidP="005E292E">
      <w:pPr>
        <w:spacing w:after="0" w:line="240" w:lineRule="auto"/>
      </w:pPr>
      <w:r>
        <w:separator/>
      </w:r>
    </w:p>
  </w:endnote>
  <w:endnote w:type="continuationSeparator" w:id="0">
    <w:p w14:paraId="513EB52D" w14:textId="77777777" w:rsidR="00286A74" w:rsidRDefault="00286A74"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F30E28" w:rsidRDefault="00F30E28"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F30E28" w:rsidRDefault="00F30E2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71BC5" w14:textId="77777777" w:rsidR="00286A74" w:rsidRDefault="00286A74" w:rsidP="005E292E">
      <w:pPr>
        <w:spacing w:after="0" w:line="240" w:lineRule="auto"/>
      </w:pPr>
      <w:r>
        <w:separator/>
      </w:r>
    </w:p>
  </w:footnote>
  <w:footnote w:type="continuationSeparator" w:id="0">
    <w:p w14:paraId="701E1D73" w14:textId="77777777" w:rsidR="00286A74" w:rsidRDefault="00286A74"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F30E28" w:rsidRPr="00DA72CD" w:rsidRDefault="00F30E28">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2"/>
  </w:num>
  <w:num w:numId="7">
    <w:abstractNumId w:val="43"/>
  </w:num>
  <w:num w:numId="8">
    <w:abstractNumId w:val="12"/>
  </w:num>
  <w:num w:numId="9">
    <w:abstractNumId w:val="20"/>
  </w:num>
  <w:num w:numId="10">
    <w:abstractNumId w:val="31"/>
  </w:num>
  <w:num w:numId="11">
    <w:abstractNumId w:val="11"/>
  </w:num>
  <w:num w:numId="12">
    <w:abstractNumId w:val="37"/>
  </w:num>
  <w:num w:numId="13">
    <w:abstractNumId w:val="45"/>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4"/>
  </w:num>
  <w:num w:numId="22">
    <w:abstractNumId w:val="27"/>
  </w:num>
  <w:num w:numId="23">
    <w:abstractNumId w:val="10"/>
  </w:num>
  <w:num w:numId="24">
    <w:abstractNumId w:val="35"/>
  </w:num>
  <w:num w:numId="25">
    <w:abstractNumId w:val="41"/>
  </w:num>
  <w:num w:numId="26">
    <w:abstractNumId w:val="17"/>
  </w:num>
  <w:num w:numId="27">
    <w:abstractNumId w:val="40"/>
  </w:num>
  <w:num w:numId="28">
    <w:abstractNumId w:val="36"/>
  </w:num>
  <w:num w:numId="29">
    <w:abstractNumId w:val="7"/>
  </w:num>
  <w:num w:numId="30">
    <w:abstractNumId w:val="34"/>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8"/>
  </w:num>
  <w:num w:numId="39">
    <w:abstractNumId w:val="39"/>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3.png@01D4781E.5915CD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A86C2-3656-480A-8286-378BD6EC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34</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28</cp:revision>
  <cp:lastPrinted>2018-03-22T15:58:00Z</cp:lastPrinted>
  <dcterms:created xsi:type="dcterms:W3CDTF">2018-09-18T08:34:00Z</dcterms:created>
  <dcterms:modified xsi:type="dcterms:W3CDTF">2019-01-25T09:56:00Z</dcterms:modified>
</cp:coreProperties>
</file>