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1902CF" w:rsidRDefault="001902CF">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1902CF" w:rsidRDefault="001902C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1902CF" w:rsidRPr="00F77ACA" w:rsidRDefault="001902CF">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1902CF" w:rsidRDefault="001902CF">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1902CF" w:rsidRDefault="001902C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1902CF" w:rsidRPr="00F77ACA" w:rsidRDefault="001902CF">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1902CF" w:rsidRDefault="001902C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1902CF" w:rsidRPr="00A25372" w:rsidRDefault="001902C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1902CF" w:rsidRDefault="001902CF"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1902CF" w:rsidRDefault="001902C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1902CF" w:rsidRPr="00A25372" w:rsidRDefault="001902C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1902CF" w:rsidRDefault="001902CF"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1902CF" w:rsidRDefault="001902C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1902CF" w:rsidRPr="006E3EF6" w:rsidRDefault="001902C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1902CF" w:rsidRDefault="001902C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1902CF" w:rsidRPr="006E3EF6" w:rsidRDefault="001902C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1902CF" w:rsidRPr="001247AE" w:rsidRDefault="001902CF"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1902CF" w:rsidRPr="001247AE" w:rsidRDefault="001902CF"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r>
        <w:t>Kitting and service sets</w:t>
      </w:r>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r>
        <w:t>Supplier part profiles</w:t>
      </w:r>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r>
        <w:t>Stocking Item (SKU) Maintenance</w:t>
      </w:r>
    </w:p>
    <w:p w14:paraId="296C1104" w14:textId="2647DB57" w:rsidR="00D9626A" w:rsidRDefault="00D9626A" w:rsidP="00D9626A">
      <w:pPr>
        <w:pStyle w:val="Heading2"/>
        <w:numPr>
          <w:ilvl w:val="1"/>
          <w:numId w:val="16"/>
        </w:numPr>
      </w:pPr>
      <w:r>
        <w:t>Group Code maintenance</w:t>
      </w:r>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lastRenderedPageBreak/>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lastRenderedPageBreak/>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 xml:space="preserve">Block ‘ALL’ Search. This prevents searching across ALL serial numbers in a group code forcing the person with </w:t>
      </w:r>
      <w:proofErr w:type="gramStart"/>
      <w:r>
        <w:t>a</w:t>
      </w:r>
      <w:proofErr w:type="gramEnd"/>
      <w:r>
        <w:t xml:space="preserve">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 xml:space="preserve">Note that the user interface has </w:t>
      </w:r>
      <w:proofErr w:type="gramStart"/>
      <w:r>
        <w:t>a number of</w:t>
      </w:r>
      <w:proofErr w:type="gramEnd"/>
      <w:r>
        <w:t xml:space="preserve"> tabs below the standard information and are used as follows:</w:t>
      </w:r>
    </w:p>
    <w:p w14:paraId="53D4E628" w14:textId="31F9EFB4" w:rsidR="00D9626A" w:rsidRDefault="00D9626A" w:rsidP="00D9626A">
      <w:pPr>
        <w:pStyle w:val="ListParagraph"/>
        <w:numPr>
          <w:ilvl w:val="0"/>
          <w:numId w:val="43"/>
        </w:numPr>
        <w:jc w:val="both"/>
      </w:pPr>
      <w:r>
        <w:t xml:space="preserve">Positional groups. In the same manner as under / over sizes are identified using a group code, the position where the specific item can be used is identified. By example a roller bearing may be used on the front left wheel assembly as well as the front right wheel assembly. This is particularly useful to identify that the same part can be used in </w:t>
      </w:r>
      <w:proofErr w:type="gramStart"/>
      <w:r>
        <w:t>a number of</w:t>
      </w:r>
      <w:proofErr w:type="gramEnd"/>
      <w:r>
        <w:t xml:space="preserve">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lastRenderedPageBreak/>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r>
        <w:t>Base Item maintenance</w:t>
      </w:r>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lastRenderedPageBreak/>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w:t>
      </w:r>
      <w:r>
        <w:t xml:space="preserve">physical </w:t>
      </w:r>
      <w:r>
        <w:t>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w:t>
      </w:r>
      <w:proofErr w:type="gramStart"/>
      <w:r>
        <w:t>-“ from</w:t>
      </w:r>
      <w:proofErr w:type="gramEnd"/>
      <w:r>
        <w:t xml:space="preserve"> the content as can be seen. This must be analysed in detail to assess if suppliers may use the “</w:t>
      </w:r>
      <w:proofErr w:type="gramStart"/>
      <w:r>
        <w:t>-“ as</w:t>
      </w:r>
      <w:proofErr w:type="gramEnd"/>
      <w:r>
        <w:t xml:space="preserve">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2BC179BC" w:rsidR="00C00EE4" w:rsidRDefault="00D547C8" w:rsidP="00D547C8">
      <w:pPr>
        <w:pStyle w:val="ListParagraph"/>
        <w:numPr>
          <w:ilvl w:val="0"/>
          <w:numId w:val="45"/>
        </w:numPr>
      </w:pPr>
      <w:bookmarkStart w:id="9" w:name="_GoBack"/>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bookmarkEnd w:id="9"/>
      <w:r w:rsidRPr="00D547C8">
        <w:rPr>
          <w:b/>
        </w:rPr>
        <w:t>Bill of Material</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3FFF9975" w14:textId="0EC07E40" w:rsidR="00D547C8" w:rsidRPr="00D9626A" w:rsidRDefault="00D547C8" w:rsidP="00D547C8">
      <w:pPr>
        <w:pStyle w:val="ListParagraph"/>
      </w:pPr>
    </w:p>
    <w:p w14:paraId="2EBC5231" w14:textId="738981C7"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10" w:name="_Toc535491633"/>
      <w:r>
        <w:t>Design philosophy</w:t>
      </w:r>
      <w:bookmarkEnd w:id="10"/>
    </w:p>
    <w:p w14:paraId="51D7CF8B" w14:textId="77777777" w:rsidR="009B6DE3" w:rsidRDefault="009B6DE3" w:rsidP="009B6DE3"/>
    <w:p w14:paraId="5F41E6F4" w14:textId="36B908FF" w:rsidR="009B6DE3" w:rsidRDefault="009B6DE3" w:rsidP="009B6DE3">
      <w:pPr>
        <w:ind w:left="720"/>
      </w:pPr>
      <w:r>
        <w:t xml:space="preserve">The design philosophy closely adheres to the </w:t>
      </w:r>
      <w:proofErr w:type="gramStart"/>
      <w:r>
        <w:t>manner in which</w:t>
      </w:r>
      <w:proofErr w:type="gramEnd"/>
      <w:r>
        <w:t xml:space="preserve"> the ePart was incarnated by splitting the entire application into 3 basic components:</w:t>
      </w:r>
    </w:p>
    <w:p w14:paraId="48B51898" w14:textId="77777777" w:rsidR="006224AB" w:rsidRDefault="006224AB" w:rsidP="006224AB"/>
    <w:p w14:paraId="5FB5FD32" w14:textId="73B50D5C" w:rsidR="009B6DE3" w:rsidRDefault="008118F0" w:rsidP="006224AB">
      <w:pPr>
        <w:pStyle w:val="ListParagraph"/>
        <w:numPr>
          <w:ilvl w:val="1"/>
          <w:numId w:val="16"/>
        </w:numPr>
      </w:pPr>
      <w:r>
        <w:t xml:space="preserve">Presentation – this is done in Builder </w:t>
      </w:r>
      <w:r w:rsidR="006224AB">
        <w:t>C</w:t>
      </w:r>
      <w:r>
        <w:t>++ with limited if any engagement of business logic</w:t>
      </w:r>
    </w:p>
    <w:p w14:paraId="63BF517C" w14:textId="48DF1B65" w:rsidR="008118F0" w:rsidRDefault="008118F0" w:rsidP="006224AB">
      <w:pPr>
        <w:pStyle w:val="ListParagraph"/>
        <w:numPr>
          <w:ilvl w:val="1"/>
          <w:numId w:val="16"/>
        </w:numPr>
      </w:pPr>
      <w:r>
        <w:t xml:space="preserve">Business logic – this is done using MSSQL stored procedures </w:t>
      </w:r>
    </w:p>
    <w:p w14:paraId="3DA5F895" w14:textId="229F8BAA" w:rsidR="008118F0" w:rsidRDefault="008118F0" w:rsidP="006224AB">
      <w:pPr>
        <w:pStyle w:val="ListParagraph"/>
        <w:numPr>
          <w:ilvl w:val="1"/>
          <w:numId w:val="16"/>
        </w:numPr>
      </w:pPr>
      <w:r>
        <w:t>Data persistence – the fact that business logic is contained in Stored Procedures makes the persistence integral part of the business logic process.</w:t>
      </w:r>
    </w:p>
    <w:p w14:paraId="291A353B" w14:textId="77777777" w:rsidR="008118F0" w:rsidRDefault="008118F0" w:rsidP="006224AB">
      <w:r>
        <w:t>The underlying benefit to this approach is simplicity and maintainability.</w:t>
      </w:r>
    </w:p>
    <w:p w14:paraId="50B75E59" w14:textId="03CE3A6A" w:rsidR="008118F0" w:rsidRPr="009B6DE3" w:rsidRDefault="008118F0" w:rsidP="006224AB">
      <w:r>
        <w:t xml:space="preserve">The obvious notion to this is that the </w:t>
      </w:r>
      <w:r w:rsidRPr="006224AB">
        <w:rPr>
          <w:b/>
          <w:i/>
        </w:rPr>
        <w:t>presentation</w:t>
      </w:r>
      <w:r>
        <w:t xml:space="preserve"> logic can theoretically be swapped out retaining the business and persistence logic intact.</w:t>
      </w:r>
    </w:p>
    <w:p w14:paraId="25AB537A" w14:textId="77777777" w:rsidR="00A12956" w:rsidRDefault="00A12956" w:rsidP="001B097D">
      <w:pPr>
        <w:pStyle w:val="Heading1"/>
        <w:numPr>
          <w:ilvl w:val="0"/>
          <w:numId w:val="16"/>
        </w:numPr>
      </w:pPr>
      <w:bookmarkStart w:id="11" w:name="_Toc525030621"/>
      <w:bookmarkStart w:id="12" w:name="_Toc535491634"/>
      <w:r>
        <w:t xml:space="preserve">Database design </w:t>
      </w:r>
      <w:bookmarkEnd w:id="11"/>
      <w:r>
        <w:t>philosophy</w:t>
      </w:r>
      <w:bookmarkEnd w:id="12"/>
    </w:p>
    <w:p w14:paraId="38AE2C50" w14:textId="77777777" w:rsidR="00A12956" w:rsidRDefault="00A12956" w:rsidP="006224AB">
      <w:pPr>
        <w:jc w:val="both"/>
      </w:pPr>
      <w:r>
        <w:t>In the after-market automotive industry the concepts of assemblies, sub-assemblies and finite parts are strongly represented.</w:t>
      </w:r>
    </w:p>
    <w:p w14:paraId="0CE6CD5C" w14:textId="77777777" w:rsidR="00A12956" w:rsidRDefault="00A12956" w:rsidP="006224AB">
      <w:pPr>
        <w:jc w:val="both"/>
      </w:pPr>
      <w:r>
        <w:t xml:space="preserve">Consequently, the </w:t>
      </w:r>
      <w:proofErr w:type="spellStart"/>
      <w:r>
        <w:t>ePART</w:t>
      </w:r>
      <w:proofErr w:type="spellEnd"/>
      <w:r>
        <w:t xml:space="preserve"> catalogue contains all parts in relation to a tree of assemblies, called the bill of materials, or BoM.</w:t>
      </w:r>
    </w:p>
    <w:p w14:paraId="0D61032A" w14:textId="0742C63F" w:rsidR="001428FA" w:rsidRPr="001428FA" w:rsidRDefault="006224AB" w:rsidP="006224AB">
      <w:pPr>
        <w:jc w:val="both"/>
        <w:rPr>
          <w:b/>
        </w:rPr>
      </w:pPr>
      <w:r>
        <w:rPr>
          <w:noProof/>
          <w:lang w:val="af-ZA" w:eastAsia="af-ZA"/>
        </w:rPr>
        <w:lastRenderedPageBreak/>
        <w:drawing>
          <wp:anchor distT="0" distB="0" distL="114300" distR="114300" simplePos="0" relativeHeight="251697152" behindDoc="0" locked="0" layoutInCell="1" allowOverlap="1" wp14:anchorId="66CE2713" wp14:editId="5F9A71EC">
            <wp:simplePos x="0" y="0"/>
            <wp:positionH relativeFrom="column">
              <wp:posOffset>712520</wp:posOffset>
            </wp:positionH>
            <wp:positionV relativeFrom="paragraph">
              <wp:posOffset>392100</wp:posOffset>
            </wp:positionV>
            <wp:extent cx="3848100" cy="210248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102485"/>
                    </a:xfrm>
                    <a:prstGeom prst="rect">
                      <a:avLst/>
                    </a:prstGeom>
                    <a:noFill/>
                  </pic:spPr>
                </pic:pic>
              </a:graphicData>
            </a:graphic>
            <wp14:sizeRelH relativeFrom="margin">
              <wp14:pctWidth>0</wp14:pctWidth>
            </wp14:sizeRelH>
            <wp14:sizeRelV relativeFrom="margin">
              <wp14:pctHeight>0</wp14:pctHeight>
            </wp14:sizeRelV>
          </wp:anchor>
        </w:drawing>
      </w:r>
      <w:r w:rsidR="001428FA" w:rsidRPr="001428FA">
        <w:rPr>
          <w:b/>
        </w:rPr>
        <w:t xml:space="preserve">Diagram </w:t>
      </w:r>
      <w:r>
        <w:rPr>
          <w:b/>
        </w:rPr>
        <w:t>17</w:t>
      </w:r>
      <w:r w:rsidR="001428FA" w:rsidRPr="001428FA">
        <w:rPr>
          <w:b/>
        </w:rPr>
        <w:t xml:space="preserve">.1 provides a high-level view of the </w:t>
      </w:r>
      <w:r w:rsidR="001428FA" w:rsidRPr="001428FA">
        <w:rPr>
          <w:b/>
          <w:i/>
        </w:rPr>
        <w:t>core</w:t>
      </w:r>
      <w:r w:rsidR="001428FA" w:rsidRPr="001428FA">
        <w:rPr>
          <w:b/>
        </w:rPr>
        <w:t xml:space="preserve"> catalogue Entity Relationship as deployed</w:t>
      </w:r>
    </w:p>
    <w:p w14:paraId="5DC31356" w14:textId="26AE4967" w:rsidR="001428FA" w:rsidRPr="001428FA" w:rsidRDefault="001428FA" w:rsidP="008118F0">
      <w:pPr>
        <w:ind w:left="720"/>
      </w:pPr>
    </w:p>
    <w:p w14:paraId="1FC9A31C" w14:textId="37256B82" w:rsidR="008118F0" w:rsidRDefault="008118F0" w:rsidP="008118F0">
      <w:pPr>
        <w:ind w:left="720"/>
      </w:pPr>
    </w:p>
    <w:p w14:paraId="647D88BF" w14:textId="53866755" w:rsidR="009D7F46" w:rsidRDefault="009D7F46" w:rsidP="001B097D">
      <w:pPr>
        <w:pStyle w:val="Heading1"/>
        <w:numPr>
          <w:ilvl w:val="0"/>
          <w:numId w:val="16"/>
        </w:numPr>
      </w:pPr>
      <w:bookmarkStart w:id="13" w:name="_Toc535491635"/>
      <w:r>
        <w:t>The advanced searching approaches</w:t>
      </w:r>
      <w:bookmarkEnd w:id="13"/>
    </w:p>
    <w:p w14:paraId="3EF4015F" w14:textId="77777777" w:rsidR="009D7F46" w:rsidRDefault="009D7F46" w:rsidP="009D7F46"/>
    <w:p w14:paraId="31E56843" w14:textId="0E2C49C9"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B175B88" w:rsidR="003C64DF" w:rsidRDefault="003C64DF" w:rsidP="009D7F46">
      <w:pPr>
        <w:ind w:left="720"/>
      </w:pPr>
    </w:p>
    <w:p w14:paraId="7A9658B7" w14:textId="219049A1" w:rsidR="003C64DF" w:rsidRPr="003C64DF" w:rsidRDefault="003C64DF" w:rsidP="009D7F46">
      <w:pPr>
        <w:ind w:left="720"/>
        <w:rPr>
          <w:b/>
        </w:rPr>
      </w:pPr>
      <w:r w:rsidRPr="003C64DF">
        <w:rPr>
          <w:b/>
        </w:rPr>
        <w:t xml:space="preserve">Diagram </w:t>
      </w:r>
      <w:r w:rsidR="006224AB">
        <w:rPr>
          <w:b/>
        </w:rPr>
        <w:t>18</w:t>
      </w:r>
      <w:r w:rsidRPr="003C64DF">
        <w:rPr>
          <w:b/>
        </w:rPr>
        <w:t>.1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lastRenderedPageBreak/>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14" w:name="_Toc535491636"/>
      <w:r>
        <w:t>Catalogue lookup to sales-order</w:t>
      </w:r>
      <w:bookmarkEnd w:id="14"/>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1902CF" w:rsidRDefault="001902C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1902CF" w:rsidRDefault="001902CF" w:rsidP="00F37CC9">
                              <w:pPr>
                                <w:jc w:val="center"/>
                              </w:pPr>
                            </w:p>
                            <w:p w14:paraId="0302CB5D" w14:textId="77777777" w:rsidR="001902CF" w:rsidRDefault="001902CF"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36"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37"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38"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1902CF" w:rsidRDefault="001902C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1902CF" w:rsidRDefault="001902CF" w:rsidP="00F37CC9">
                        <w:pPr>
                          <w:jc w:val="center"/>
                        </w:pPr>
                      </w:p>
                      <w:p w14:paraId="0302CB5D" w14:textId="77777777" w:rsidR="001902CF" w:rsidRDefault="001902CF"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5" w:name="_Toc535491637"/>
      <w:r>
        <w:lastRenderedPageBreak/>
        <w:t>Database entities and relationships</w:t>
      </w:r>
      <w:bookmarkEnd w:id="15"/>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6" w:name="_Toc535491638"/>
      <w:r>
        <w:lastRenderedPageBreak/>
        <w:t>Programs</w:t>
      </w:r>
      <w:bookmarkEnd w:id="16"/>
    </w:p>
    <w:p w14:paraId="632647ED" w14:textId="77777777" w:rsidR="004D4FE6" w:rsidRDefault="004D4FE6" w:rsidP="001B097D">
      <w:pPr>
        <w:pStyle w:val="Heading1"/>
        <w:numPr>
          <w:ilvl w:val="1"/>
          <w:numId w:val="16"/>
        </w:numPr>
      </w:pPr>
      <w:bookmarkStart w:id="17" w:name="_Toc535491639"/>
      <w:r>
        <w:t>MS Windows Executables</w:t>
      </w:r>
      <w:bookmarkEnd w:id="17"/>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8" w:name="_Toc535491640"/>
      <w:r>
        <w:t>SQL Stored Procedure</w:t>
      </w:r>
      <w:r w:rsidR="00F850B0">
        <w:t>s</w:t>
      </w:r>
      <w:bookmarkEnd w:id="18"/>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9" w:name="_Toc535491641"/>
      <w:r>
        <w:lastRenderedPageBreak/>
        <w:t>Acceptance</w:t>
      </w:r>
      <w:bookmarkEnd w:id="19"/>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7728E" w14:textId="77777777" w:rsidR="006E74D9" w:rsidRDefault="006E74D9" w:rsidP="005E292E">
      <w:pPr>
        <w:spacing w:after="0" w:line="240" w:lineRule="auto"/>
      </w:pPr>
      <w:r>
        <w:separator/>
      </w:r>
    </w:p>
  </w:endnote>
  <w:endnote w:type="continuationSeparator" w:id="0">
    <w:p w14:paraId="3E66D4E2" w14:textId="77777777" w:rsidR="006E74D9" w:rsidRDefault="006E74D9"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1902CF" w:rsidRDefault="001902CF"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1902CF" w:rsidRDefault="001902CF"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4FA8C" w14:textId="77777777" w:rsidR="006E74D9" w:rsidRDefault="006E74D9" w:rsidP="005E292E">
      <w:pPr>
        <w:spacing w:after="0" w:line="240" w:lineRule="auto"/>
      </w:pPr>
      <w:r>
        <w:separator/>
      </w:r>
    </w:p>
  </w:footnote>
  <w:footnote w:type="continuationSeparator" w:id="0">
    <w:p w14:paraId="550C2CA3" w14:textId="77777777" w:rsidR="006E74D9" w:rsidRDefault="006E74D9"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1902CF" w:rsidRPr="00DA72CD" w:rsidRDefault="001902CF">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9"/>
  </w:num>
  <w:num w:numId="3">
    <w:abstractNumId w:val="32"/>
  </w:num>
  <w:num w:numId="4">
    <w:abstractNumId w:val="24"/>
  </w:num>
  <w:num w:numId="5">
    <w:abstractNumId w:val="8"/>
  </w:num>
  <w:num w:numId="6">
    <w:abstractNumId w:val="41"/>
  </w:num>
  <w:num w:numId="7">
    <w:abstractNumId w:val="42"/>
  </w:num>
  <w:num w:numId="8">
    <w:abstractNumId w:val="12"/>
  </w:num>
  <w:num w:numId="9">
    <w:abstractNumId w:val="19"/>
  </w:num>
  <w:num w:numId="10">
    <w:abstractNumId w:val="30"/>
  </w:num>
  <w:num w:numId="11">
    <w:abstractNumId w:val="11"/>
  </w:num>
  <w:num w:numId="12">
    <w:abstractNumId w:val="36"/>
  </w:num>
  <w:num w:numId="13">
    <w:abstractNumId w:val="44"/>
  </w:num>
  <w:num w:numId="14">
    <w:abstractNumId w:val="20"/>
  </w:num>
  <w:num w:numId="15">
    <w:abstractNumId w:val="13"/>
  </w:num>
  <w:num w:numId="16">
    <w:abstractNumId w:val="23"/>
  </w:num>
  <w:num w:numId="17">
    <w:abstractNumId w:val="2"/>
  </w:num>
  <w:num w:numId="18">
    <w:abstractNumId w:val="17"/>
  </w:num>
  <w:num w:numId="19">
    <w:abstractNumId w:val="21"/>
  </w:num>
  <w:num w:numId="20">
    <w:abstractNumId w:val="18"/>
  </w:num>
  <w:num w:numId="21">
    <w:abstractNumId w:val="43"/>
  </w:num>
  <w:num w:numId="22">
    <w:abstractNumId w:val="26"/>
  </w:num>
  <w:num w:numId="23">
    <w:abstractNumId w:val="10"/>
  </w:num>
  <w:num w:numId="24">
    <w:abstractNumId w:val="34"/>
  </w:num>
  <w:num w:numId="25">
    <w:abstractNumId w:val="40"/>
  </w:num>
  <w:num w:numId="26">
    <w:abstractNumId w:val="16"/>
  </w:num>
  <w:num w:numId="27">
    <w:abstractNumId w:val="39"/>
  </w:num>
  <w:num w:numId="28">
    <w:abstractNumId w:val="35"/>
  </w:num>
  <w:num w:numId="29">
    <w:abstractNumId w:val="7"/>
  </w:num>
  <w:num w:numId="30">
    <w:abstractNumId w:val="33"/>
  </w:num>
  <w:num w:numId="31">
    <w:abstractNumId w:val="28"/>
  </w:num>
  <w:num w:numId="32">
    <w:abstractNumId w:val="31"/>
  </w:num>
  <w:num w:numId="33">
    <w:abstractNumId w:val="5"/>
  </w:num>
  <w:num w:numId="34">
    <w:abstractNumId w:val="4"/>
  </w:num>
  <w:num w:numId="35">
    <w:abstractNumId w:val="1"/>
  </w:num>
  <w:num w:numId="36">
    <w:abstractNumId w:val="29"/>
  </w:num>
  <w:num w:numId="37">
    <w:abstractNumId w:val="0"/>
  </w:num>
  <w:num w:numId="38">
    <w:abstractNumId w:val="37"/>
  </w:num>
  <w:num w:numId="39">
    <w:abstractNumId w:val="38"/>
  </w:num>
  <w:num w:numId="40">
    <w:abstractNumId w:val="15"/>
  </w:num>
  <w:num w:numId="41">
    <w:abstractNumId w:val="3"/>
  </w:num>
  <w:num w:numId="42">
    <w:abstractNumId w:val="27"/>
  </w:num>
  <w:num w:numId="43">
    <w:abstractNumId w:val="14"/>
  </w:num>
  <w:num w:numId="44">
    <w:abstractNumId w:val="25"/>
  </w:num>
  <w:num w:numId="45">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02CF"/>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F690E-328E-4DB9-A054-F003FEC7A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30</Pages>
  <Words>5088</Words>
  <Characters>29006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26</cp:revision>
  <cp:lastPrinted>2018-03-22T15:58:00Z</cp:lastPrinted>
  <dcterms:created xsi:type="dcterms:W3CDTF">2018-09-18T08:34:00Z</dcterms:created>
  <dcterms:modified xsi:type="dcterms:W3CDTF">2019-01-23T08:43:00Z</dcterms:modified>
</cp:coreProperties>
</file>