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94573E" w:rsidRDefault="00C45D6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94573E">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94573E" w:rsidRDefault="0094573E">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4573E" w:rsidRPr="00F77ACA" w:rsidRDefault="0094573E">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94573E" w:rsidRDefault="00C45D6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94573E">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94573E" w:rsidRDefault="0094573E">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4573E" w:rsidRPr="00F77ACA" w:rsidRDefault="0094573E">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94573E" w:rsidRDefault="0094573E"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94573E" w:rsidRPr="00A25372" w:rsidRDefault="0094573E"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4573E" w:rsidRDefault="0094573E"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94573E" w:rsidRDefault="0094573E"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94573E" w:rsidRPr="00A25372" w:rsidRDefault="0094573E"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4573E" w:rsidRDefault="0094573E"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94573E" w:rsidRDefault="0094573E">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4573E" w:rsidRPr="006E3EF6" w:rsidRDefault="0094573E">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94573E" w:rsidRDefault="0094573E">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4573E" w:rsidRPr="006E3EF6" w:rsidRDefault="0094573E">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94573E" w:rsidRPr="001247AE" w:rsidRDefault="0094573E"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94573E" w:rsidRPr="001247AE" w:rsidRDefault="0094573E"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r>
        <w:t>Kitting and service sets</w:t>
      </w:r>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r>
        <w:t>Supplier part profiles</w:t>
      </w:r>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r>
        <w:t>Stocking Item (SKU) Maintenance</w:t>
      </w:r>
    </w:p>
    <w:p w14:paraId="296C1104" w14:textId="2647DB57" w:rsidR="00D9626A" w:rsidRDefault="00D9626A" w:rsidP="00D9626A">
      <w:pPr>
        <w:pStyle w:val="Heading2"/>
        <w:numPr>
          <w:ilvl w:val="1"/>
          <w:numId w:val="16"/>
        </w:numPr>
      </w:pPr>
      <w:r>
        <w:t>Group Code maintenance</w:t>
      </w:r>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lastRenderedPageBreak/>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lastRenderedPageBreak/>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 xml:space="preserve">Block ‘ALL’ Search. This prevents searching across ALL serial numbers in a group code forcing the person with </w:t>
      </w:r>
      <w:proofErr w:type="gramStart"/>
      <w:r>
        <w:t>a</w:t>
      </w:r>
      <w:proofErr w:type="gramEnd"/>
      <w:r>
        <w:t xml:space="preserve">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 xml:space="preserve">Note that the user interface has </w:t>
      </w:r>
      <w:proofErr w:type="gramStart"/>
      <w:r>
        <w:t>a number of</w:t>
      </w:r>
      <w:proofErr w:type="gramEnd"/>
      <w:r>
        <w:t xml:space="preserve"> tabs below the standard information and are used as follows:</w:t>
      </w:r>
    </w:p>
    <w:p w14:paraId="53D4E628" w14:textId="31F9EFB4" w:rsidR="00D9626A" w:rsidRDefault="00D9626A" w:rsidP="00D9626A">
      <w:pPr>
        <w:pStyle w:val="ListParagraph"/>
        <w:numPr>
          <w:ilvl w:val="0"/>
          <w:numId w:val="43"/>
        </w:numPr>
        <w:jc w:val="both"/>
      </w:pPr>
      <w:r>
        <w:t xml:space="preserve">Positional groups. In the same manner as under / over sizes are identified using a group code, the position where the specific item can be used is identified. By example a roller bearing may be used on the front left wheel assembly as well as the front right wheel assembly. This is particularly useful to identify that the same part can be used in </w:t>
      </w:r>
      <w:proofErr w:type="gramStart"/>
      <w:r>
        <w:t>a number of</w:t>
      </w:r>
      <w:proofErr w:type="gramEnd"/>
      <w:r>
        <w:t xml:space="preserve">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lastRenderedPageBreak/>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r>
        <w:t>Base Item maintenance</w:t>
      </w:r>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lastRenderedPageBreak/>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physical 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w:t>
      </w:r>
      <w:proofErr w:type="gramStart"/>
      <w:r>
        <w:t>-“ from</w:t>
      </w:r>
      <w:proofErr w:type="gramEnd"/>
      <w:r>
        <w:t xml:space="preserve"> the content as can be seen. This must be analysed in detail to assess if suppliers may use the “</w:t>
      </w:r>
      <w:proofErr w:type="gramStart"/>
      <w:r>
        <w:t>-“ as</w:t>
      </w:r>
      <w:proofErr w:type="gramEnd"/>
      <w:r>
        <w:t xml:space="preserve">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62329E9D" w:rsidR="00C00EE4" w:rsidRDefault="00D547C8" w:rsidP="00D547C8">
      <w:pPr>
        <w:pStyle w:val="ListParagraph"/>
        <w:numPr>
          <w:ilvl w:val="0"/>
          <w:numId w:val="45"/>
        </w:numPr>
      </w:pPr>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r w:rsidRPr="00D547C8">
        <w:rPr>
          <w:b/>
        </w:rPr>
        <w:t>Bill of Material</w:t>
      </w:r>
      <w:r w:rsidR="00332686">
        <w:rPr>
          <w:b/>
        </w:rPr>
        <w:t xml:space="preserve"> (Base Item)</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1A457D32" w14:textId="0CDABF66" w:rsidR="00332686" w:rsidRDefault="00332686" w:rsidP="00F30E28">
      <w:pPr>
        <w:pStyle w:val="Heading2"/>
        <w:numPr>
          <w:ilvl w:val="1"/>
          <w:numId w:val="16"/>
        </w:numPr>
      </w:pPr>
      <w:r>
        <w:lastRenderedPageBreak/>
        <w:t>Catalogue – Bill of material node maintenance</w:t>
      </w:r>
    </w:p>
    <w:p w14:paraId="3EED733D" w14:textId="756E7A84" w:rsidR="00332686" w:rsidRDefault="00332686" w:rsidP="00332686"/>
    <w:p w14:paraId="2A5EFEE2" w14:textId="58F3A225" w:rsidR="00332686" w:rsidRDefault="00332686" w:rsidP="00332686">
      <w:r>
        <w:t xml:space="preserve">This part of the catalogue maintenance functionality allows for the </w:t>
      </w:r>
      <w:r>
        <w:rPr>
          <w:b/>
          <w:i/>
        </w:rPr>
        <w:t>Bill of Material</w:t>
      </w:r>
      <w:r>
        <w:t xml:space="preserve"> nodes to be maintained.</w:t>
      </w:r>
    </w:p>
    <w:p w14:paraId="15A04CEC" w14:textId="6F892F87" w:rsidR="00332686" w:rsidRDefault="00332686" w:rsidP="00332686">
      <w:r>
        <w:t>In a generic manner the following describes why and how the BOM is defined and constructed:</w:t>
      </w:r>
    </w:p>
    <w:p w14:paraId="7CF13A16" w14:textId="175538AF" w:rsidR="00332686" w:rsidRDefault="00332686" w:rsidP="00332686">
      <w:pPr>
        <w:pStyle w:val="ListParagraph"/>
        <w:numPr>
          <w:ilvl w:val="2"/>
          <w:numId w:val="16"/>
        </w:numPr>
      </w:pPr>
      <w:r>
        <w:t xml:space="preserve">Defining the relationship </w:t>
      </w:r>
    </w:p>
    <w:p w14:paraId="3B6C4281" w14:textId="2AD115F6" w:rsidR="00332686" w:rsidRDefault="00332686" w:rsidP="00332686">
      <w:pPr>
        <w:pStyle w:val="ListParagraph"/>
        <w:ind w:left="1080"/>
      </w:pPr>
    </w:p>
    <w:p w14:paraId="32444EC4" w14:textId="49C4F0B7" w:rsidR="00332686" w:rsidRDefault="00332686" w:rsidP="004558B2">
      <w:pPr>
        <w:pStyle w:val="ListParagraph"/>
        <w:ind w:left="1080"/>
        <w:jc w:val="both"/>
      </w:pPr>
      <w:r>
        <w:t>Generically, BOM’s have a parent to child relationship and in the ePart application all relevant relationships are developed in and around automotive aftermarket interests</w:t>
      </w:r>
    </w:p>
    <w:p w14:paraId="235379D8" w14:textId="54761362" w:rsidR="00332686" w:rsidRDefault="00332686" w:rsidP="004558B2">
      <w:pPr>
        <w:pStyle w:val="ListParagraph"/>
        <w:ind w:left="1080"/>
        <w:jc w:val="both"/>
      </w:pPr>
    </w:p>
    <w:p w14:paraId="50D26E1E" w14:textId="079144F5" w:rsidR="00332686" w:rsidRDefault="00332686" w:rsidP="004558B2">
      <w:pPr>
        <w:pStyle w:val="ListParagraph"/>
        <w:ind w:left="1080"/>
        <w:jc w:val="both"/>
      </w:pPr>
      <w:r>
        <w:t>This implies that all automotive manufacturers and their products are defined in a specific relationship. In simplified terms it could be FORD -&gt; ECHO SPORT -&gt; ENGINE -&gt; 1L -&gt; FILTRATION ……</w:t>
      </w:r>
    </w:p>
    <w:p w14:paraId="6B0F23DF" w14:textId="3EE01D0B" w:rsidR="00332686" w:rsidRDefault="00332686" w:rsidP="004558B2">
      <w:pPr>
        <w:pStyle w:val="ListParagraph"/>
        <w:ind w:left="1080"/>
        <w:jc w:val="both"/>
      </w:pPr>
    </w:p>
    <w:p w14:paraId="36C712BA" w14:textId="0CD20820" w:rsidR="00332686" w:rsidRDefault="00332686" w:rsidP="004558B2">
      <w:pPr>
        <w:pStyle w:val="ListParagraph"/>
        <w:ind w:left="1080"/>
        <w:jc w:val="both"/>
      </w:pPr>
      <w:r>
        <w:t>This allows for all relevant assemblies and sub-assemblies to be defined in a relationship that is logical and well ordered with an efficient presentation format.</w:t>
      </w:r>
    </w:p>
    <w:p w14:paraId="708E5E2E" w14:textId="20C01182" w:rsidR="00332686" w:rsidRDefault="00332686" w:rsidP="004558B2">
      <w:pPr>
        <w:pStyle w:val="ListParagraph"/>
        <w:ind w:left="1080"/>
        <w:jc w:val="both"/>
      </w:pPr>
    </w:p>
    <w:p w14:paraId="4862F4C6" w14:textId="1C7D6E09" w:rsidR="00332686" w:rsidRDefault="00332686" w:rsidP="004558B2">
      <w:pPr>
        <w:pStyle w:val="ListParagraph"/>
        <w:ind w:left="1080"/>
        <w:jc w:val="both"/>
      </w:pPr>
      <w:r>
        <w:t xml:space="preserve">Of importance is the fact that </w:t>
      </w:r>
      <w:r w:rsidR="00111E29">
        <w:t xml:space="preserve">an assembly (say a turbo charger) can be sold as a stocking item and the turbo charger itself can be de-composed further into sub-assemblies (say Electrical turbo controls) and finite parts (say turbo shaft bearings) and these also sold as individual parts. This is defined by entering a </w:t>
      </w:r>
      <w:r w:rsidR="00111E29">
        <w:rPr>
          <w:b/>
          <w:i/>
        </w:rPr>
        <w:t>Stock Code</w:t>
      </w:r>
      <w:r w:rsidR="00111E29">
        <w:t xml:space="preserve"> via the user interface below.</w:t>
      </w:r>
    </w:p>
    <w:p w14:paraId="12F303F2" w14:textId="77777777" w:rsidR="00111E29" w:rsidRPr="00332686" w:rsidRDefault="00111E29" w:rsidP="00111E29">
      <w:pPr>
        <w:pStyle w:val="ListParagraph"/>
        <w:ind w:left="1080"/>
      </w:pPr>
    </w:p>
    <w:p w14:paraId="368ABFE6" w14:textId="3A09479F" w:rsidR="00332686" w:rsidRDefault="00497725" w:rsidP="00332686">
      <w:r>
        <w:rPr>
          <w:noProof/>
        </w:rPr>
        <w:lastRenderedPageBreak/>
        <w:drawing>
          <wp:inline distT="0" distB="0" distL="0" distR="0" wp14:anchorId="5B9D219E" wp14:editId="132DA21B">
            <wp:extent cx="5822937" cy="5352242"/>
            <wp:effectExtent l="0" t="0" r="698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58" cy="5360442"/>
                    </a:xfrm>
                    <a:prstGeom prst="rect">
                      <a:avLst/>
                    </a:prstGeom>
                    <a:noFill/>
                  </pic:spPr>
                </pic:pic>
              </a:graphicData>
            </a:graphic>
          </wp:inline>
        </w:drawing>
      </w:r>
    </w:p>
    <w:p w14:paraId="45CC46C6" w14:textId="0FEB28FE" w:rsidR="00332686" w:rsidRDefault="00332686" w:rsidP="00332686"/>
    <w:p w14:paraId="4B905617" w14:textId="58B095D6" w:rsidR="00111E29" w:rsidRDefault="00111E29" w:rsidP="004558B2">
      <w:pPr>
        <w:jc w:val="both"/>
      </w:pPr>
      <w:r>
        <w:t>In addition to capturing the specific BOM node details, there are some tabbed detail that is used to define the BOM node in more detail.</w:t>
      </w:r>
    </w:p>
    <w:p w14:paraId="09711D25" w14:textId="06AD0D0A" w:rsidR="00497725" w:rsidRPr="00497725" w:rsidRDefault="00497725" w:rsidP="004558B2">
      <w:pPr>
        <w:jc w:val="both"/>
        <w:rPr>
          <w:b/>
          <w:i/>
        </w:rPr>
      </w:pPr>
      <w:r w:rsidRPr="00497725">
        <w:rPr>
          <w:b/>
          <w:i/>
        </w:rPr>
        <w:t>Tab: Base Items:</w:t>
      </w:r>
    </w:p>
    <w:p w14:paraId="37D9DB8D" w14:textId="20858AED" w:rsidR="00497725" w:rsidRDefault="00497725" w:rsidP="004558B2">
      <w:pPr>
        <w:jc w:val="both"/>
      </w:pPr>
      <w:r>
        <w:t>Using this tab allows the maintainer to define all the base items (SKU) that are linked to the specific engine being defined.</w:t>
      </w:r>
    </w:p>
    <w:p w14:paraId="31230503" w14:textId="7128D77C" w:rsidR="00497725" w:rsidRDefault="00497725" w:rsidP="004558B2">
      <w:pPr>
        <w:jc w:val="both"/>
      </w:pPr>
      <w:r>
        <w:t xml:space="preserve">Note that the engine as depicted is an assembly of type </w:t>
      </w:r>
      <w:r>
        <w:rPr>
          <w:b/>
          <w:i/>
        </w:rPr>
        <w:t>ENGINE</w:t>
      </w:r>
      <w:r>
        <w:t>. Any other pre-defined assembly types can follow the same regimen i.e. a turbo charger or gearbox as examples fit into the same regimen of declaration. This allows for great flexibility in building the parent child relationships.</w:t>
      </w:r>
    </w:p>
    <w:p w14:paraId="46DFA7C8" w14:textId="2E8B90C1" w:rsidR="00497725" w:rsidRDefault="00497725" w:rsidP="004558B2">
      <w:pPr>
        <w:jc w:val="both"/>
      </w:pPr>
      <w:r>
        <w:t xml:space="preserve">The Stock Code can be repeated in the list when the </w:t>
      </w:r>
      <w:r>
        <w:rPr>
          <w:b/>
          <w:i/>
        </w:rPr>
        <w:t xml:space="preserve">POs </w:t>
      </w:r>
      <w:r w:rsidRPr="00497725">
        <w:t>field is added</w:t>
      </w:r>
      <w:r>
        <w:t>. The functionality allows for the same part i.e. roller bearing, to be declared to fix in multiple places in the assembly.</w:t>
      </w:r>
    </w:p>
    <w:p w14:paraId="3B3D198D" w14:textId="7FC0CB14" w:rsidR="00497725" w:rsidRDefault="00497725" w:rsidP="004558B2">
      <w:pPr>
        <w:jc w:val="both"/>
      </w:pPr>
      <w:r>
        <w:t>To assist the customer and sales staff, a specific quantity is declared so that when a part is ordered there is assistance to order the correct quantity.</w:t>
      </w:r>
    </w:p>
    <w:p w14:paraId="223BB3FB" w14:textId="2681B804" w:rsidR="00497725" w:rsidRPr="00497725" w:rsidRDefault="00497725" w:rsidP="004558B2">
      <w:pPr>
        <w:jc w:val="both"/>
      </w:pPr>
      <w:r>
        <w:lastRenderedPageBreak/>
        <w:t xml:space="preserve">In the even where there is updates during the life of the assembly, a date range is provided </w:t>
      </w:r>
      <w:r w:rsidR="00A47BDE">
        <w:t>to assist sales in selecting the correct part at enquiry time.</w:t>
      </w:r>
    </w:p>
    <w:p w14:paraId="3329572D" w14:textId="07880BE5" w:rsidR="00A47BDE" w:rsidRDefault="00A47BDE" w:rsidP="004558B2">
      <w:pPr>
        <w:jc w:val="both"/>
        <w:rPr>
          <w:b/>
          <w:i/>
        </w:rPr>
      </w:pPr>
      <w:r>
        <w:rPr>
          <w:b/>
          <w:i/>
        </w:rPr>
        <w:t>Parents:</w:t>
      </w:r>
    </w:p>
    <w:p w14:paraId="093CFAE7" w14:textId="3F9217A6" w:rsidR="00A47BDE" w:rsidRPr="00A47BDE" w:rsidRDefault="00A47BDE" w:rsidP="004558B2">
      <w:pPr>
        <w:jc w:val="both"/>
      </w:pPr>
      <w:r>
        <w:t xml:space="preserve">Within a BOM structure, parent nodes need to be assigned to a sub-assembly. By using the </w:t>
      </w:r>
      <w:r>
        <w:rPr>
          <w:b/>
          <w:i/>
        </w:rPr>
        <w:t xml:space="preserve">Parents </w:t>
      </w:r>
      <w:r>
        <w:t>tab, a list of all the parents is displayed that this specific node is linked to. This regimen allows for a structure to be declared once and re-used many times over – creates efficiencies and accuracy</w:t>
      </w:r>
    </w:p>
    <w:p w14:paraId="615D68DC" w14:textId="578CA9DF" w:rsidR="00A47BDE" w:rsidRDefault="00A47BDE" w:rsidP="004558B2">
      <w:pPr>
        <w:jc w:val="both"/>
      </w:pPr>
    </w:p>
    <w:p w14:paraId="4A5DA3B5" w14:textId="5F4AEB1A" w:rsidR="00A47BDE" w:rsidRPr="00A47BDE" w:rsidRDefault="00A47BDE" w:rsidP="004558B2">
      <w:pPr>
        <w:jc w:val="both"/>
      </w:pPr>
      <w:r>
        <w:rPr>
          <w:noProof/>
        </w:rPr>
        <w:drawing>
          <wp:inline distT="0" distB="0" distL="0" distR="0" wp14:anchorId="582A3523" wp14:editId="0C313C7D">
            <wp:extent cx="5731510" cy="5212715"/>
            <wp:effectExtent l="0" t="0" r="2540" b="6985"/>
            <wp:docPr id="6" name="Picture 6" descr="cid:image002.png@01D4B4A0.D4D23520"/>
            <wp:cNvGraphicFramePr/>
            <a:graphic xmlns:a="http://schemas.openxmlformats.org/drawingml/2006/main">
              <a:graphicData uri="http://schemas.openxmlformats.org/drawingml/2006/picture">
                <pic:pic xmlns:pic="http://schemas.openxmlformats.org/drawingml/2006/picture">
                  <pic:nvPicPr>
                    <pic:cNvPr id="6" name="Picture 6" descr="cid:image002.png@01D4B4A0.D4D23520"/>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7FE6B48A" w14:textId="76CA9614" w:rsidR="00A47BDE" w:rsidRDefault="00A47BDE" w:rsidP="004558B2">
      <w:pPr>
        <w:jc w:val="both"/>
      </w:pPr>
    </w:p>
    <w:p w14:paraId="54EC753A" w14:textId="58A10F70" w:rsidR="00A47BDE" w:rsidRDefault="00A47BDE" w:rsidP="004558B2">
      <w:pPr>
        <w:jc w:val="both"/>
        <w:rPr>
          <w:b/>
          <w:i/>
        </w:rPr>
      </w:pPr>
      <w:r>
        <w:rPr>
          <w:b/>
          <w:i/>
        </w:rPr>
        <w:t>Children:</w:t>
      </w:r>
    </w:p>
    <w:p w14:paraId="337D2B5C" w14:textId="3E10E8BE" w:rsidR="00A47BDE" w:rsidRDefault="00A47BDE" w:rsidP="004558B2">
      <w:pPr>
        <w:jc w:val="both"/>
      </w:pPr>
      <w:r>
        <w:t>When creating an assembly, there will (possibly) be children; either in the form of sub-assemblies that make up the current assembly node.</w:t>
      </w:r>
    </w:p>
    <w:p w14:paraId="4BF4F08C" w14:textId="35B3ABDE" w:rsidR="00A47BDE" w:rsidRPr="00A47BDE" w:rsidRDefault="00A47BDE" w:rsidP="004558B2">
      <w:pPr>
        <w:jc w:val="both"/>
      </w:pPr>
      <w:r>
        <w:rPr>
          <w:noProof/>
        </w:rPr>
        <w:lastRenderedPageBreak/>
        <w:drawing>
          <wp:inline distT="0" distB="0" distL="0" distR="0" wp14:anchorId="48D52A9B" wp14:editId="701F7287">
            <wp:extent cx="5731510" cy="5234940"/>
            <wp:effectExtent l="0" t="0" r="2540" b="3810"/>
            <wp:docPr id="3" name="Picture 3" descr="cid:image003.png@01D4B4A0.D4D23520"/>
            <wp:cNvGraphicFramePr/>
            <a:graphic xmlns:a="http://schemas.openxmlformats.org/drawingml/2006/main">
              <a:graphicData uri="http://schemas.openxmlformats.org/drawingml/2006/picture">
                <pic:pic xmlns:pic="http://schemas.openxmlformats.org/drawingml/2006/picture">
                  <pic:nvPicPr>
                    <pic:cNvPr id="3" name="Picture 3" descr="cid:image003.png@01D4B4A0.D4D23520"/>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5234940"/>
                    </a:xfrm>
                    <a:prstGeom prst="rect">
                      <a:avLst/>
                    </a:prstGeom>
                    <a:noFill/>
                    <a:ln>
                      <a:noFill/>
                    </a:ln>
                  </pic:spPr>
                </pic:pic>
              </a:graphicData>
            </a:graphic>
          </wp:inline>
        </w:drawing>
      </w:r>
    </w:p>
    <w:p w14:paraId="016ABC68" w14:textId="29BD9279" w:rsidR="00A47BDE" w:rsidRDefault="00A47BDE" w:rsidP="004558B2">
      <w:pPr>
        <w:jc w:val="both"/>
      </w:pPr>
    </w:p>
    <w:p w14:paraId="68A8F070" w14:textId="3CF306A2" w:rsidR="0018751E" w:rsidRDefault="0018751E" w:rsidP="004558B2">
      <w:pPr>
        <w:jc w:val="both"/>
      </w:pPr>
      <w:r>
        <w:rPr>
          <w:b/>
          <w:i/>
        </w:rPr>
        <w:t>Attributes</w:t>
      </w:r>
    </w:p>
    <w:p w14:paraId="52525A61" w14:textId="44F7EA6E" w:rsidR="0018751E" w:rsidRDefault="0018751E" w:rsidP="004558B2">
      <w:pPr>
        <w:jc w:val="both"/>
      </w:pPr>
      <w:r>
        <w:t>Due to the differing properties between assemblies and sub-assemblies, provision is made to define a set of attributes dynamically that allow a fixed form of elements to be presented.</w:t>
      </w:r>
    </w:p>
    <w:p w14:paraId="75E9472A" w14:textId="5235577E" w:rsidR="0018751E" w:rsidRPr="0018751E" w:rsidRDefault="0018751E" w:rsidP="004558B2">
      <w:pPr>
        <w:jc w:val="both"/>
      </w:pPr>
      <w:r>
        <w:t xml:space="preserve">In this instance the example shown depicts attributes for an </w:t>
      </w:r>
      <w:r>
        <w:rPr>
          <w:b/>
          <w:i/>
        </w:rPr>
        <w:t>engine</w:t>
      </w:r>
      <w:r w:rsidR="00695D12">
        <w:t xml:space="preserve"> and would differ from those for vehicle or turbo charger.</w:t>
      </w:r>
    </w:p>
    <w:p w14:paraId="142B4CED" w14:textId="003B8C34" w:rsidR="0018751E" w:rsidRDefault="0018751E" w:rsidP="004558B2">
      <w:pPr>
        <w:jc w:val="both"/>
      </w:pPr>
      <w:r>
        <w:rPr>
          <w:noProof/>
        </w:rPr>
        <w:lastRenderedPageBreak/>
        <w:drawing>
          <wp:inline distT="0" distB="0" distL="0" distR="0" wp14:anchorId="077E502E" wp14:editId="709BAC6F">
            <wp:extent cx="5731510" cy="5257165"/>
            <wp:effectExtent l="0" t="0" r="2540" b="635"/>
            <wp:docPr id="4" name="Picture 4" descr="cid:image004.png@01D4B4A0.D4D23520"/>
            <wp:cNvGraphicFramePr/>
            <a:graphic xmlns:a="http://schemas.openxmlformats.org/drawingml/2006/main">
              <a:graphicData uri="http://schemas.openxmlformats.org/drawingml/2006/picture">
                <pic:pic xmlns:pic="http://schemas.openxmlformats.org/drawingml/2006/picture">
                  <pic:nvPicPr>
                    <pic:cNvPr id="4" name="Picture 4" descr="cid:image004.png@01D4B4A0.D4D23520"/>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p>
    <w:p w14:paraId="248CA458" w14:textId="77777777" w:rsidR="0018751E" w:rsidRPr="0018751E" w:rsidRDefault="0018751E" w:rsidP="004558B2">
      <w:pPr>
        <w:jc w:val="both"/>
      </w:pPr>
    </w:p>
    <w:p w14:paraId="6F2B5B61" w14:textId="50A913D5" w:rsidR="00A47BDE" w:rsidRPr="00A47BDE" w:rsidRDefault="00A47BDE" w:rsidP="004558B2">
      <w:pPr>
        <w:jc w:val="both"/>
        <w:rPr>
          <w:b/>
          <w:i/>
        </w:rPr>
      </w:pPr>
      <w:r>
        <w:rPr>
          <w:b/>
          <w:i/>
        </w:rPr>
        <w:t>Templates:</w:t>
      </w:r>
    </w:p>
    <w:p w14:paraId="2F974F73" w14:textId="540216A3" w:rsidR="00111E29" w:rsidRDefault="00111E29" w:rsidP="004558B2">
      <w:pPr>
        <w:jc w:val="both"/>
      </w:pPr>
      <w:r>
        <w:t xml:space="preserve">In the example depicted here, and assembly of type ENGINE is being maintained. </w:t>
      </w:r>
    </w:p>
    <w:p w14:paraId="12BF97AF" w14:textId="783156E4" w:rsidR="00111E29" w:rsidRDefault="004558B2" w:rsidP="004558B2">
      <w:pPr>
        <w:jc w:val="both"/>
      </w:pPr>
      <w:r>
        <w:t>This specific view presents all the vehicles that the specific ENGINE is linked to. This functionality is specifically designed for efficiency and accuracy in that the ENGINE assembly is pre-defined ONCE ONLY and then attached as a child to a specific vehicle.</w:t>
      </w:r>
    </w:p>
    <w:p w14:paraId="17DF4E5C" w14:textId="656002EB" w:rsidR="004558B2" w:rsidRDefault="004558B2" w:rsidP="004558B2">
      <w:pPr>
        <w:jc w:val="both"/>
      </w:pPr>
      <w:r>
        <w:t xml:space="preserve">NOTE that the </w:t>
      </w:r>
      <w:r w:rsidRPr="004558B2">
        <w:rPr>
          <w:b/>
          <w:i/>
        </w:rPr>
        <w:t>EN</w:t>
      </w:r>
      <w:r>
        <w:t xml:space="preserve"> assembly type can be defined as a </w:t>
      </w:r>
      <w:r>
        <w:rPr>
          <w:b/>
          <w:i/>
        </w:rPr>
        <w:t>template</w:t>
      </w:r>
      <w:r>
        <w:t xml:space="preserve"> and then fully defined in its set of sub-assemblies and linked base numbers (SKU). This will automatically include that alternates as well.</w:t>
      </w:r>
    </w:p>
    <w:p w14:paraId="2F5CCF1C" w14:textId="68F6D39E" w:rsidR="004558B2" w:rsidRDefault="004558B2" w:rsidP="004558B2">
      <w:pPr>
        <w:jc w:val="both"/>
      </w:pPr>
      <w:r>
        <w:t xml:space="preserve">By following this regimen, changes to the </w:t>
      </w:r>
      <w:r>
        <w:rPr>
          <w:b/>
          <w:i/>
        </w:rPr>
        <w:t>template</w:t>
      </w:r>
      <w:r>
        <w:t xml:space="preserve"> that is linked to one or more </w:t>
      </w:r>
      <w:r w:rsidR="008A000C">
        <w:t>parent nodes will automatically reflect modifications made to the template</w:t>
      </w:r>
    </w:p>
    <w:p w14:paraId="5F522903" w14:textId="6DFC3141" w:rsidR="005B2177" w:rsidRDefault="005B2177" w:rsidP="005B2177">
      <w:pPr>
        <w:pStyle w:val="Heading2"/>
        <w:ind w:left="750"/>
      </w:pPr>
    </w:p>
    <w:p w14:paraId="7EFA6A4B" w14:textId="1AB18B72" w:rsidR="005B2177" w:rsidRDefault="005B2177" w:rsidP="005B2177"/>
    <w:p w14:paraId="283F5647" w14:textId="77777777" w:rsidR="005B2177" w:rsidRPr="005B2177" w:rsidRDefault="005B2177" w:rsidP="005B2177"/>
    <w:p w14:paraId="22994527" w14:textId="1188D135" w:rsidR="00332686" w:rsidRDefault="005B2177" w:rsidP="00F30E28">
      <w:pPr>
        <w:pStyle w:val="Heading2"/>
        <w:numPr>
          <w:ilvl w:val="1"/>
          <w:numId w:val="16"/>
        </w:numPr>
      </w:pPr>
      <w:r>
        <w:lastRenderedPageBreak/>
        <w:t xml:space="preserve">Catalogue Maintenance - </w:t>
      </w:r>
      <w:r w:rsidR="00332686">
        <w:t>Stock Mark-up workbench</w:t>
      </w:r>
    </w:p>
    <w:p w14:paraId="5B13A9EB" w14:textId="77777777" w:rsidR="008A000C" w:rsidRDefault="008A000C" w:rsidP="00332686"/>
    <w:p w14:paraId="02DFD68E" w14:textId="7E958B71" w:rsidR="008A000C" w:rsidRDefault="008A000C" w:rsidP="0094573E">
      <w:pPr>
        <w:jc w:val="both"/>
      </w:pPr>
      <w:r>
        <w:t xml:space="preserve">The </w:t>
      </w:r>
      <w:r>
        <w:rPr>
          <w:b/>
          <w:i/>
        </w:rPr>
        <w:t>Mark-up Workbench</w:t>
      </w:r>
      <w:r>
        <w:t xml:space="preserve"> functionality is where end users </w:t>
      </w:r>
      <w:r w:rsidR="0094573E">
        <w:t>can</w:t>
      </w:r>
      <w:r>
        <w:t xml:space="preserve"> bring the backend of the business into a consolidated view where maintenance is done to ensure that the base calculations, pre-customer discounts, are optimally structured.</w:t>
      </w:r>
    </w:p>
    <w:p w14:paraId="6301C8AC" w14:textId="77777777" w:rsidR="009E0FD0" w:rsidRDefault="0094573E" w:rsidP="0094573E">
      <w:pPr>
        <w:jc w:val="both"/>
      </w:pPr>
      <w:r>
        <w:t xml:space="preserve">This user interface is included as it forms part of the ePart catalogue / decision support strategic configuration. From this user interface </w:t>
      </w:r>
      <w:r w:rsidR="009E0FD0">
        <w:t>the following functions that influence the ePart catalogue efficiency can be actioned:</w:t>
      </w:r>
    </w:p>
    <w:p w14:paraId="4A1377B2" w14:textId="68560AD3" w:rsidR="0094573E" w:rsidRDefault="009E0FD0" w:rsidP="009E0FD0">
      <w:pPr>
        <w:pStyle w:val="ListParagraph"/>
        <w:numPr>
          <w:ilvl w:val="0"/>
          <w:numId w:val="47"/>
        </w:numPr>
        <w:jc w:val="both"/>
      </w:pPr>
      <w:r>
        <w:t>S</w:t>
      </w:r>
      <w:r w:rsidR="0094573E">
        <w:t xml:space="preserve">uppliers are </w:t>
      </w:r>
      <w:r>
        <w:t xml:space="preserve">defined as preferred </w:t>
      </w:r>
      <w:r w:rsidR="00C3649D">
        <w:t xml:space="preserve">suppliers to order from. This is also structured in a sequence of preference. The workbench allows the user to add to purchase order using one of the action buttons on the taskbar. The quantity is added as a </w:t>
      </w:r>
      <w:r w:rsidR="00C3649D">
        <w:rPr>
          <w:b/>
        </w:rPr>
        <w:t>suggested</w:t>
      </w:r>
      <w:r w:rsidR="00C3649D">
        <w:t xml:space="preserve"> quantity to any one of the related suppliers </w:t>
      </w:r>
      <w:r w:rsidR="00C3649D" w:rsidRPr="00C3649D">
        <w:rPr>
          <w:b/>
          <w:i/>
        </w:rPr>
        <w:t>open</w:t>
      </w:r>
      <w:r w:rsidR="00C3649D">
        <w:rPr>
          <w:b/>
          <w:i/>
        </w:rPr>
        <w:t xml:space="preserve"> to add to</w:t>
      </w:r>
      <w:r w:rsidR="00C3649D">
        <w:t xml:space="preserve"> purchase order – this is a specific supplier purchase order </w:t>
      </w:r>
      <w:r w:rsidR="00297BE6">
        <w:t>with status</w:t>
      </w:r>
      <w:r w:rsidR="00C3649D">
        <w:t xml:space="preserve"> </w:t>
      </w:r>
      <w:r w:rsidR="00C3649D">
        <w:rPr>
          <w:b/>
          <w:i/>
        </w:rPr>
        <w:t>suggested</w:t>
      </w:r>
      <w:r w:rsidR="00C3649D">
        <w:t>.</w:t>
      </w:r>
    </w:p>
    <w:p w14:paraId="47EA2535" w14:textId="7CA232F3" w:rsidR="00297BE6" w:rsidRDefault="00297BE6" w:rsidP="00297BE6">
      <w:pPr>
        <w:pStyle w:val="ListParagraph"/>
        <w:jc w:val="both"/>
      </w:pPr>
    </w:p>
    <w:p w14:paraId="7589862A" w14:textId="62C06BF4" w:rsidR="00297BE6" w:rsidRDefault="00297BE6" w:rsidP="00297BE6">
      <w:pPr>
        <w:pStyle w:val="ListParagraph"/>
        <w:jc w:val="both"/>
      </w:pPr>
      <w:r>
        <w:t>The suggested quantity is a calculation base on a formula known as the AMS (Average Monthly Sales) formula which is a rolling average of averages.</w:t>
      </w:r>
    </w:p>
    <w:p w14:paraId="254581DC" w14:textId="76939462" w:rsidR="00C3649D" w:rsidRDefault="00C3649D" w:rsidP="00C3649D">
      <w:pPr>
        <w:pStyle w:val="ListParagraph"/>
        <w:jc w:val="both"/>
      </w:pPr>
    </w:p>
    <w:p w14:paraId="16B06E0A" w14:textId="04DC52B4" w:rsidR="00C3649D" w:rsidRDefault="00C3649D" w:rsidP="00C3649D">
      <w:pPr>
        <w:pStyle w:val="ListParagraph"/>
        <w:jc w:val="both"/>
      </w:pPr>
      <w:r>
        <w:t>After adding the</w:t>
      </w:r>
      <w:r w:rsidR="00297BE6">
        <w:t xml:space="preserve"> item to a purchase order in status </w:t>
      </w:r>
      <w:r w:rsidR="00297BE6">
        <w:rPr>
          <w:b/>
          <w:i/>
        </w:rPr>
        <w:t>suggested</w:t>
      </w:r>
      <w:r w:rsidR="00297BE6">
        <w:t>, the user can change the quantity as is needed based on prevailing indicators</w:t>
      </w:r>
      <w:r w:rsidR="001A7BF7">
        <w:t>.</w:t>
      </w:r>
    </w:p>
    <w:p w14:paraId="135D6A35" w14:textId="01C02A2E" w:rsidR="001A7BF7" w:rsidRDefault="001A7BF7" w:rsidP="00C3649D">
      <w:pPr>
        <w:pStyle w:val="ListParagraph"/>
        <w:jc w:val="both"/>
      </w:pPr>
    </w:p>
    <w:p w14:paraId="05B6D6EC" w14:textId="217C1E0B" w:rsidR="005B2177" w:rsidRDefault="001A7BF7" w:rsidP="00C3649D">
      <w:pPr>
        <w:pStyle w:val="ListParagraph"/>
        <w:jc w:val="both"/>
      </w:pPr>
      <w:r>
        <w:t>On the user view, there is statistical detail around the specific item intended to assist the user to make a more informed purchasing decision.</w:t>
      </w:r>
      <w:r w:rsidR="005B2177">
        <w:t xml:space="preserve"> One of these is a tab with </w:t>
      </w:r>
      <w:r w:rsidR="005B2177">
        <w:t xml:space="preserve">monthly trend graph </w:t>
      </w:r>
      <w:r w:rsidR="005B2177">
        <w:t xml:space="preserve">of </w:t>
      </w:r>
      <w:r w:rsidR="005B2177">
        <w:t>monthly sales to assist in defining the optimal pricing constructs</w:t>
      </w:r>
      <w:r w:rsidR="005B2177">
        <w:t xml:space="preserve"> and purchasing focus</w:t>
      </w:r>
      <w:r w:rsidR="005B2177">
        <w:t>.</w:t>
      </w:r>
    </w:p>
    <w:p w14:paraId="558E5E66" w14:textId="77777777" w:rsidR="00297BE6" w:rsidRPr="00297BE6" w:rsidRDefault="00297BE6" w:rsidP="00C3649D">
      <w:pPr>
        <w:pStyle w:val="ListParagraph"/>
        <w:jc w:val="both"/>
      </w:pPr>
    </w:p>
    <w:p w14:paraId="16D4B1AA" w14:textId="6728E6E3" w:rsidR="00C3649D" w:rsidRDefault="00297BE6" w:rsidP="009E0FD0">
      <w:pPr>
        <w:pStyle w:val="ListParagraph"/>
        <w:numPr>
          <w:ilvl w:val="0"/>
          <w:numId w:val="47"/>
        </w:numPr>
        <w:jc w:val="both"/>
      </w:pPr>
      <w:r>
        <w:t>Importing goods from international sources usually provide greater margins thus the preference should be to optimise imports rather than ordering from local suppliers. However, local suppliers have the advantage of receiving goods within a short time where imported goods take an appreciably longer time to receive.</w:t>
      </w:r>
    </w:p>
    <w:p w14:paraId="272E7419" w14:textId="3C28B08F" w:rsidR="00297BE6" w:rsidRDefault="00297BE6" w:rsidP="00297BE6">
      <w:pPr>
        <w:pStyle w:val="ListParagraph"/>
        <w:jc w:val="both"/>
      </w:pPr>
    </w:p>
    <w:p w14:paraId="000A30C0" w14:textId="35B93779" w:rsidR="00297BE6" w:rsidRDefault="00297BE6" w:rsidP="00297BE6">
      <w:pPr>
        <w:pStyle w:val="ListParagraph"/>
        <w:jc w:val="both"/>
      </w:pPr>
      <w:r>
        <w:t xml:space="preserve">Using this interface allows user to initiate the function </w:t>
      </w:r>
      <w:r w:rsidRPr="00297BE6">
        <w:rPr>
          <w:b/>
          <w:i/>
        </w:rPr>
        <w:t>add to purchase order</w:t>
      </w:r>
      <w:r>
        <w:t xml:space="preserve"> amongst any number of suppliers.</w:t>
      </w:r>
    </w:p>
    <w:p w14:paraId="1D91FB72" w14:textId="77777777" w:rsidR="00297BE6" w:rsidRDefault="00297BE6" w:rsidP="00297BE6">
      <w:pPr>
        <w:pStyle w:val="ListParagraph"/>
        <w:jc w:val="both"/>
      </w:pPr>
    </w:p>
    <w:p w14:paraId="7F8D1EAB" w14:textId="77777777" w:rsidR="001A7BF7" w:rsidRDefault="001A7BF7" w:rsidP="009E0FD0">
      <w:pPr>
        <w:pStyle w:val="ListParagraph"/>
        <w:numPr>
          <w:ilvl w:val="0"/>
          <w:numId w:val="47"/>
        </w:numPr>
        <w:jc w:val="both"/>
      </w:pPr>
      <w:r>
        <w:t>In determining selling price</w:t>
      </w:r>
      <w:r w:rsidR="00297BE6">
        <w:t xml:space="preserve">, suppliers can be </w:t>
      </w:r>
      <w:r>
        <w:t xml:space="preserve">selected for selling price determination using the supplier’s price. Distinction is made between normal as well as whole sale selling price determination. </w:t>
      </w:r>
    </w:p>
    <w:p w14:paraId="6A1078B1" w14:textId="77777777" w:rsidR="001A7BF7" w:rsidRDefault="001A7BF7" w:rsidP="001A7BF7">
      <w:pPr>
        <w:pStyle w:val="ListParagraph"/>
        <w:jc w:val="both"/>
      </w:pPr>
    </w:p>
    <w:p w14:paraId="2A5C6079" w14:textId="21EA13D3" w:rsidR="00297BE6" w:rsidRDefault="001A7BF7" w:rsidP="001A7BF7">
      <w:pPr>
        <w:pStyle w:val="ListParagraph"/>
        <w:jc w:val="both"/>
      </w:pPr>
      <w:r>
        <w:t>Technical: To optimise the price calculation process, there is a database trigger that is initiated to do pre-calculation of the base selling pricing lists using the revised supplier selection and their price to Engineparts.</w:t>
      </w:r>
    </w:p>
    <w:p w14:paraId="2C074844" w14:textId="77777777" w:rsidR="001A7BF7" w:rsidRDefault="001A7BF7" w:rsidP="001A7BF7">
      <w:pPr>
        <w:pStyle w:val="ListParagraph"/>
        <w:jc w:val="both"/>
      </w:pPr>
    </w:p>
    <w:p w14:paraId="71BF5795" w14:textId="413182C0" w:rsidR="00332686" w:rsidRDefault="005B2177" w:rsidP="0094573E">
      <w:pPr>
        <w:jc w:val="both"/>
      </w:pPr>
      <w:r>
        <w:rPr>
          <w:noProof/>
        </w:rPr>
        <w:lastRenderedPageBreak/>
        <w:drawing>
          <wp:anchor distT="0" distB="0" distL="114300" distR="114300" simplePos="0" relativeHeight="251701248" behindDoc="0" locked="0" layoutInCell="1" allowOverlap="1" wp14:anchorId="2603D954" wp14:editId="548B0153">
            <wp:simplePos x="0" y="0"/>
            <wp:positionH relativeFrom="column">
              <wp:posOffset>-340995</wp:posOffset>
            </wp:positionH>
            <wp:positionV relativeFrom="paragraph">
              <wp:posOffset>282113</wp:posOffset>
            </wp:positionV>
            <wp:extent cx="6400165" cy="3590925"/>
            <wp:effectExtent l="0" t="0" r="635" b="9525"/>
            <wp:wrapTopAndBottom/>
            <wp:docPr id="450" name="Picture 450" descr="cid:image004.png@01D4781E.5915CD20"/>
            <wp:cNvGraphicFramePr/>
            <a:graphic xmlns:a="http://schemas.openxmlformats.org/drawingml/2006/main">
              <a:graphicData uri="http://schemas.openxmlformats.org/drawingml/2006/picture">
                <pic:pic xmlns:pic="http://schemas.openxmlformats.org/drawingml/2006/picture">
                  <pic:nvPicPr>
                    <pic:cNvPr id="4" name="Picture 4" descr="cid:image004.png@01D4781E.5915CD20"/>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640016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0C">
        <w:t xml:space="preserve"> </w:t>
      </w:r>
      <w:r>
        <w:t>The following image provides a view of the Catalogue and mark-up dashboard:</w:t>
      </w:r>
    </w:p>
    <w:p w14:paraId="39D7C00A" w14:textId="77777777" w:rsidR="005B2177" w:rsidRDefault="005B2177" w:rsidP="0094573E">
      <w:pPr>
        <w:jc w:val="both"/>
      </w:pPr>
    </w:p>
    <w:p w14:paraId="0FC329C1" w14:textId="609E7412" w:rsidR="005B2177" w:rsidRPr="008A000C" w:rsidRDefault="005B2177" w:rsidP="0094573E">
      <w:pPr>
        <w:jc w:val="both"/>
      </w:pPr>
      <w:r>
        <w:t>This image provides a view of the purchase order and Mark-up dashboard interaction</w:t>
      </w:r>
    </w:p>
    <w:p w14:paraId="78176A5A" w14:textId="02411930" w:rsidR="008A000C" w:rsidRPr="005B2177" w:rsidRDefault="005B2177">
      <w:r>
        <w:rPr>
          <w:noProof/>
        </w:rPr>
        <w:drawing>
          <wp:anchor distT="0" distB="0" distL="114300" distR="114300" simplePos="0" relativeHeight="251703296" behindDoc="0" locked="0" layoutInCell="1" allowOverlap="1" wp14:anchorId="6954F4B8" wp14:editId="578565D9">
            <wp:simplePos x="0" y="0"/>
            <wp:positionH relativeFrom="column">
              <wp:posOffset>-282402</wp:posOffset>
            </wp:positionH>
            <wp:positionV relativeFrom="paragraph">
              <wp:posOffset>164118</wp:posOffset>
            </wp:positionV>
            <wp:extent cx="6591935" cy="4056380"/>
            <wp:effectExtent l="0" t="0" r="0" b="1270"/>
            <wp:wrapTopAndBottom/>
            <wp:docPr id="5" name="Picture 5" descr="cid:image002.png@01D4B702.8849E9F0"/>
            <wp:cNvGraphicFramePr/>
            <a:graphic xmlns:a="http://schemas.openxmlformats.org/drawingml/2006/main">
              <a:graphicData uri="http://schemas.openxmlformats.org/drawingml/2006/picture">
                <pic:pic xmlns:pic="http://schemas.openxmlformats.org/drawingml/2006/picture">
                  <pic:nvPicPr>
                    <pic:cNvPr id="3" name="Picture 3" descr="cid:image002.png@01D4B702.8849E9F0"/>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591935" cy="405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FED73" w14:textId="6940DAD1" w:rsidR="00F30E28" w:rsidRDefault="00332686" w:rsidP="00F30E28">
      <w:pPr>
        <w:pStyle w:val="Heading2"/>
        <w:numPr>
          <w:ilvl w:val="1"/>
          <w:numId w:val="16"/>
        </w:numPr>
      </w:pPr>
      <w:r>
        <w:lastRenderedPageBreak/>
        <w:t xml:space="preserve">Catalogue </w:t>
      </w:r>
      <w:r w:rsidR="00F30E28">
        <w:t>Supplier Price Maintenance</w:t>
      </w:r>
    </w:p>
    <w:p w14:paraId="66508681" w14:textId="3A44F5CE" w:rsidR="00F30E28" w:rsidRDefault="00F30E28" w:rsidP="00F30E28"/>
    <w:p w14:paraId="0296ABBE" w14:textId="2D88AE4A" w:rsidR="00F30E28" w:rsidRDefault="00F30E28" w:rsidP="00025D05">
      <w:pPr>
        <w:jc w:val="both"/>
      </w:pPr>
      <w:r>
        <w:t>In addition to the automated</w:t>
      </w:r>
      <w:r w:rsidR="005B2177">
        <w:t xml:space="preserve"> (bulk import) </w:t>
      </w:r>
      <w:bookmarkStart w:id="9" w:name="_GoBack"/>
      <w:bookmarkEnd w:id="9"/>
      <w:r>
        <w:t xml:space="preserve"> price maintenance, there is a functionality to maintain the relationship between catalogues, suppliers, catalogue part numbers and to </w:t>
      </w:r>
      <w:r w:rsidR="00025D05">
        <w:t>maintain specific values in the relationships.</w:t>
      </w:r>
    </w:p>
    <w:p w14:paraId="05E6978E" w14:textId="701F4B15" w:rsidR="00025D05" w:rsidRDefault="00025D05" w:rsidP="00025D05">
      <w:pPr>
        <w:jc w:val="both"/>
      </w:pPr>
      <w:r>
        <w:t>The purpose of this is to maintain the relationships in support of the strategic model in support of optimised purchasing and selling price determination.</w:t>
      </w:r>
    </w:p>
    <w:p w14:paraId="7B904CA0" w14:textId="0A07AECE" w:rsidR="00025D05" w:rsidRDefault="00025D05" w:rsidP="00025D05">
      <w:pPr>
        <w:jc w:val="both"/>
      </w:pPr>
      <w:r>
        <w:t xml:space="preserve">Depending on a user’s business focus, this user view can be modified dynamically by using the set of tick-boxes in the </w:t>
      </w:r>
      <w:r>
        <w:rPr>
          <w:b/>
          <w:i/>
        </w:rPr>
        <w:t>parts</w:t>
      </w:r>
      <w:r>
        <w:t xml:space="preserve"> display section. By setting a tick option on adds the specific column to the right-hand display section. For instance, if the user is tasked to review and update the </w:t>
      </w:r>
      <w:r>
        <w:rPr>
          <w:b/>
          <w:i/>
        </w:rPr>
        <w:t>Lead Time</w:t>
      </w:r>
      <w:r>
        <w:t xml:space="preserve"> then the Lead time tick box is ticked allowing the said field to be edited.</w:t>
      </w:r>
    </w:p>
    <w:p w14:paraId="63C9C371" w14:textId="14120E44" w:rsidR="00025D05" w:rsidRDefault="008A000C" w:rsidP="00F30E28">
      <w:r>
        <w:rPr>
          <w:noProof/>
        </w:rPr>
        <w:drawing>
          <wp:anchor distT="0" distB="0" distL="114300" distR="114300" simplePos="0" relativeHeight="251702272" behindDoc="0" locked="0" layoutInCell="1" allowOverlap="1" wp14:anchorId="0CA51CE7" wp14:editId="531A5251">
            <wp:simplePos x="0" y="0"/>
            <wp:positionH relativeFrom="column">
              <wp:posOffset>-58189</wp:posOffset>
            </wp:positionH>
            <wp:positionV relativeFrom="paragraph">
              <wp:posOffset>603481</wp:posOffset>
            </wp:positionV>
            <wp:extent cx="5731510" cy="4333240"/>
            <wp:effectExtent l="0" t="0" r="2540" b="0"/>
            <wp:wrapTopAndBottom/>
            <wp:docPr id="26" name="Picture 26" descr="cid:image003.png@01D4781E.5915CD20"/>
            <wp:cNvGraphicFramePr/>
            <a:graphic xmlns:a="http://schemas.openxmlformats.org/drawingml/2006/main">
              <a:graphicData uri="http://schemas.openxmlformats.org/drawingml/2006/picture">
                <pic:pic xmlns:pic="http://schemas.openxmlformats.org/drawingml/2006/picture">
                  <pic:nvPicPr>
                    <pic:cNvPr id="3" name="Picture 3" descr="cid:image003.png@01D4781E.5915CD20"/>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anchor>
        </w:drawing>
      </w:r>
      <w:r w:rsidR="00025D05">
        <w:t>From the display it is possible to see which columns in the display area is ticked to be viewed and edited.</w:t>
      </w:r>
    </w:p>
    <w:p w14:paraId="54B09E7A" w14:textId="04DAAE23" w:rsidR="00025D05" w:rsidRPr="00025D05" w:rsidRDefault="00025D05" w:rsidP="00F30E28"/>
    <w:p w14:paraId="3FFF9975" w14:textId="3FCA079E" w:rsidR="00D547C8" w:rsidRDefault="00D547C8" w:rsidP="00D547C8">
      <w:pPr>
        <w:pStyle w:val="ListParagraph"/>
      </w:pPr>
    </w:p>
    <w:p w14:paraId="4203CFE2" w14:textId="6CC31BE5" w:rsidR="00F30E28" w:rsidRPr="00D9626A" w:rsidRDefault="00F30E28" w:rsidP="00D547C8">
      <w:pPr>
        <w:pStyle w:val="ListParagraph"/>
      </w:pPr>
    </w:p>
    <w:p w14:paraId="2EBC5231" w14:textId="738981C7"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0" w:name="_Toc535491637"/>
      <w:r>
        <w:lastRenderedPageBreak/>
        <w:t>Database entities and relationships</w:t>
      </w:r>
      <w:bookmarkEnd w:id="10"/>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1" w:name="_Toc535491638"/>
      <w:r>
        <w:lastRenderedPageBreak/>
        <w:t>Programs</w:t>
      </w:r>
      <w:bookmarkEnd w:id="11"/>
    </w:p>
    <w:p w14:paraId="632647ED" w14:textId="77777777" w:rsidR="004D4FE6" w:rsidRDefault="004D4FE6" w:rsidP="001B097D">
      <w:pPr>
        <w:pStyle w:val="Heading1"/>
        <w:numPr>
          <w:ilvl w:val="1"/>
          <w:numId w:val="16"/>
        </w:numPr>
      </w:pPr>
      <w:bookmarkStart w:id="12" w:name="_Toc535491639"/>
      <w:r>
        <w:t>MS Windows Executables</w:t>
      </w:r>
      <w:bookmarkEnd w:id="12"/>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3" w:name="_Toc535491640"/>
      <w:r>
        <w:t>SQL Stored Procedure</w:t>
      </w:r>
      <w:r w:rsidR="00F850B0">
        <w:t>s</w:t>
      </w:r>
      <w:bookmarkEnd w:id="13"/>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4" w:name="_Toc535491641"/>
      <w:r>
        <w:lastRenderedPageBreak/>
        <w:t>Acceptance</w:t>
      </w:r>
      <w:bookmarkEnd w:id="14"/>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0C981" w14:textId="77777777" w:rsidR="00C45D6E" w:rsidRDefault="00C45D6E" w:rsidP="005E292E">
      <w:pPr>
        <w:spacing w:after="0" w:line="240" w:lineRule="auto"/>
      </w:pPr>
      <w:r>
        <w:separator/>
      </w:r>
    </w:p>
  </w:endnote>
  <w:endnote w:type="continuationSeparator" w:id="0">
    <w:p w14:paraId="032231F0" w14:textId="77777777" w:rsidR="00C45D6E" w:rsidRDefault="00C45D6E"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94573E" w:rsidRDefault="0094573E"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94573E" w:rsidRDefault="0094573E"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C211C" w14:textId="77777777" w:rsidR="00C45D6E" w:rsidRDefault="00C45D6E" w:rsidP="005E292E">
      <w:pPr>
        <w:spacing w:after="0" w:line="240" w:lineRule="auto"/>
      </w:pPr>
      <w:r>
        <w:separator/>
      </w:r>
    </w:p>
  </w:footnote>
  <w:footnote w:type="continuationSeparator" w:id="0">
    <w:p w14:paraId="027DBF91" w14:textId="77777777" w:rsidR="00C45D6E" w:rsidRDefault="00C45D6E"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94573E" w:rsidRPr="00DA72CD" w:rsidRDefault="0094573E">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5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7B7DFE"/>
    <w:multiLevelType w:val="hybridMultilevel"/>
    <w:tmpl w:val="B38ED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33"/>
  </w:num>
  <w:num w:numId="4">
    <w:abstractNumId w:val="25"/>
  </w:num>
  <w:num w:numId="5">
    <w:abstractNumId w:val="8"/>
  </w:num>
  <w:num w:numId="6">
    <w:abstractNumId w:val="43"/>
  </w:num>
  <w:num w:numId="7">
    <w:abstractNumId w:val="44"/>
  </w:num>
  <w:num w:numId="8">
    <w:abstractNumId w:val="12"/>
  </w:num>
  <w:num w:numId="9">
    <w:abstractNumId w:val="20"/>
  </w:num>
  <w:num w:numId="10">
    <w:abstractNumId w:val="31"/>
  </w:num>
  <w:num w:numId="11">
    <w:abstractNumId w:val="11"/>
  </w:num>
  <w:num w:numId="12">
    <w:abstractNumId w:val="38"/>
  </w:num>
  <w:num w:numId="13">
    <w:abstractNumId w:val="46"/>
  </w:num>
  <w:num w:numId="14">
    <w:abstractNumId w:val="21"/>
  </w:num>
  <w:num w:numId="15">
    <w:abstractNumId w:val="13"/>
  </w:num>
  <w:num w:numId="16">
    <w:abstractNumId w:val="24"/>
  </w:num>
  <w:num w:numId="17">
    <w:abstractNumId w:val="2"/>
  </w:num>
  <w:num w:numId="18">
    <w:abstractNumId w:val="18"/>
  </w:num>
  <w:num w:numId="19">
    <w:abstractNumId w:val="22"/>
  </w:num>
  <w:num w:numId="20">
    <w:abstractNumId w:val="19"/>
  </w:num>
  <w:num w:numId="21">
    <w:abstractNumId w:val="45"/>
  </w:num>
  <w:num w:numId="22">
    <w:abstractNumId w:val="27"/>
  </w:num>
  <w:num w:numId="23">
    <w:abstractNumId w:val="10"/>
  </w:num>
  <w:num w:numId="24">
    <w:abstractNumId w:val="36"/>
  </w:num>
  <w:num w:numId="25">
    <w:abstractNumId w:val="42"/>
  </w:num>
  <w:num w:numId="26">
    <w:abstractNumId w:val="17"/>
  </w:num>
  <w:num w:numId="27">
    <w:abstractNumId w:val="41"/>
  </w:num>
  <w:num w:numId="28">
    <w:abstractNumId w:val="37"/>
  </w:num>
  <w:num w:numId="29">
    <w:abstractNumId w:val="7"/>
  </w:num>
  <w:num w:numId="30">
    <w:abstractNumId w:val="35"/>
  </w:num>
  <w:num w:numId="31">
    <w:abstractNumId w:val="29"/>
  </w:num>
  <w:num w:numId="32">
    <w:abstractNumId w:val="32"/>
  </w:num>
  <w:num w:numId="33">
    <w:abstractNumId w:val="5"/>
  </w:num>
  <w:num w:numId="34">
    <w:abstractNumId w:val="4"/>
  </w:num>
  <w:num w:numId="35">
    <w:abstractNumId w:val="1"/>
  </w:num>
  <w:num w:numId="36">
    <w:abstractNumId w:val="30"/>
  </w:num>
  <w:num w:numId="37">
    <w:abstractNumId w:val="0"/>
  </w:num>
  <w:num w:numId="38">
    <w:abstractNumId w:val="39"/>
  </w:num>
  <w:num w:numId="39">
    <w:abstractNumId w:val="40"/>
  </w:num>
  <w:num w:numId="40">
    <w:abstractNumId w:val="16"/>
  </w:num>
  <w:num w:numId="41">
    <w:abstractNumId w:val="3"/>
  </w:num>
  <w:num w:numId="42">
    <w:abstractNumId w:val="28"/>
  </w:num>
  <w:num w:numId="43">
    <w:abstractNumId w:val="15"/>
  </w:num>
  <w:num w:numId="44">
    <w:abstractNumId w:val="26"/>
  </w:num>
  <w:num w:numId="45">
    <w:abstractNumId w:val="6"/>
  </w:num>
  <w:num w:numId="46">
    <w:abstractNumId w:val="14"/>
  </w:num>
  <w:num w:numId="47">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5D05"/>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0519"/>
    <w:rsid w:val="00111E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51E"/>
    <w:rsid w:val="001878E9"/>
    <w:rsid w:val="001902CF"/>
    <w:rsid w:val="00193013"/>
    <w:rsid w:val="00193F0A"/>
    <w:rsid w:val="00194047"/>
    <w:rsid w:val="001950EB"/>
    <w:rsid w:val="0019756A"/>
    <w:rsid w:val="001A0214"/>
    <w:rsid w:val="001A145C"/>
    <w:rsid w:val="001A2805"/>
    <w:rsid w:val="001A2F60"/>
    <w:rsid w:val="001A7BF7"/>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86A74"/>
    <w:rsid w:val="00291D96"/>
    <w:rsid w:val="00292121"/>
    <w:rsid w:val="002955DB"/>
    <w:rsid w:val="00295D53"/>
    <w:rsid w:val="00297BE6"/>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2686"/>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B2"/>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97725"/>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2177"/>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95D12"/>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000C"/>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573E"/>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0FD0"/>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BDE"/>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3649D"/>
    <w:rsid w:val="00C40480"/>
    <w:rsid w:val="00C424DE"/>
    <w:rsid w:val="00C44258"/>
    <w:rsid w:val="00C456BE"/>
    <w:rsid w:val="00C45A44"/>
    <w:rsid w:val="00C45D6E"/>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8B0"/>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21BC"/>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0E28"/>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cid:image004.png@01D4781E.5915CD20"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image002.png@01D4B4A0.D4D23520" TargetMode="External"/><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cid:image002.png@01D4B702.8849E9F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cid:image004.png@01D4B4A0.D4D23520" TargetMode="External"/><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cid:image003.png@01D4B4A0.D4D23520" TargetMode="External"/><Relationship Id="rId43" Type="http://schemas.openxmlformats.org/officeDocument/2006/relationships/image" Target="cid:image003.png@01D4781E.5915CD20"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CF2BD-DADE-4C94-A70C-AA29C1276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35</Pages>
  <Words>5818</Words>
  <Characters>33167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38908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31</cp:revision>
  <cp:lastPrinted>2018-03-22T15:58:00Z</cp:lastPrinted>
  <dcterms:created xsi:type="dcterms:W3CDTF">2018-09-18T08:34:00Z</dcterms:created>
  <dcterms:modified xsi:type="dcterms:W3CDTF">2019-01-28T12:03:00Z</dcterms:modified>
</cp:coreProperties>
</file>