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FC3F3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4E63DB75" w:rsidR="006E3EF6" w:rsidRPr="00F77ACA" w:rsidRDefault="006E3EF6">
                                  <w:pPr>
                                    <w:pStyle w:val="NoSpacing"/>
                                    <w:spacing w:line="360" w:lineRule="auto"/>
                                    <w:rPr>
                                      <w:b/>
                                      <w:color w:val="FF0000"/>
                                      <w:sz w:val="28"/>
                                      <w:lang w:val="en-ZA"/>
                                    </w:rPr>
                                  </w:pPr>
                                  <w:r>
                                    <w:rPr>
                                      <w:b/>
                                      <w:color w:val="FF0000"/>
                                      <w:sz w:val="28"/>
                                      <w:lang w:val="en-ZA"/>
                                    </w:rPr>
                                    <w:t>Date: 201</w:t>
                                  </w:r>
                                  <w:r w:rsidR="005F187B">
                                    <w:rPr>
                                      <w:b/>
                                      <w:color w:val="FF0000"/>
                                      <w:sz w:val="28"/>
                                      <w:lang w:val="en-ZA"/>
                                    </w:rPr>
                                    <w:t>9</w:t>
                                  </w:r>
                                  <w:r>
                                    <w:rPr>
                                      <w:b/>
                                      <w:color w:val="FF0000"/>
                                      <w:sz w:val="28"/>
                                      <w:lang w:val="en-ZA"/>
                                    </w:rPr>
                                    <w:t>/</w:t>
                                  </w:r>
                                  <w:r w:rsidR="005F187B">
                                    <w:rPr>
                                      <w:b/>
                                      <w:color w:val="FF0000"/>
                                      <w:sz w:val="28"/>
                                      <w:lang w:val="en-ZA"/>
                                    </w:rPr>
                                    <w:t>02</w:t>
                                  </w:r>
                                  <w:r>
                                    <w:rPr>
                                      <w:b/>
                                      <w:color w:val="FF0000"/>
                                      <w:sz w:val="28"/>
                                      <w:lang w:val="en-ZA"/>
                                    </w:rPr>
                                    <w:t>/</w:t>
                                  </w:r>
                                  <w:r w:rsidR="005F187B">
                                    <w:rPr>
                                      <w:b/>
                                      <w:color w:val="FF0000"/>
                                      <w:sz w:val="28"/>
                                      <w:lang w:val="en-ZA"/>
                                    </w:rPr>
                                    <w:t>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FC3F3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4E63DB75" w:rsidR="006E3EF6" w:rsidRPr="00F77ACA" w:rsidRDefault="006E3EF6">
                            <w:pPr>
                              <w:pStyle w:val="NoSpacing"/>
                              <w:spacing w:line="360" w:lineRule="auto"/>
                              <w:rPr>
                                <w:b/>
                                <w:color w:val="FF0000"/>
                                <w:sz w:val="28"/>
                                <w:lang w:val="en-ZA"/>
                              </w:rPr>
                            </w:pPr>
                            <w:r>
                              <w:rPr>
                                <w:b/>
                                <w:color w:val="FF0000"/>
                                <w:sz w:val="28"/>
                                <w:lang w:val="en-ZA"/>
                              </w:rPr>
                              <w:t>Date: 201</w:t>
                            </w:r>
                            <w:r w:rsidR="005F187B">
                              <w:rPr>
                                <w:b/>
                                <w:color w:val="FF0000"/>
                                <w:sz w:val="28"/>
                                <w:lang w:val="en-ZA"/>
                              </w:rPr>
                              <w:t>9</w:t>
                            </w:r>
                            <w:r>
                              <w:rPr>
                                <w:b/>
                                <w:color w:val="FF0000"/>
                                <w:sz w:val="28"/>
                                <w:lang w:val="en-ZA"/>
                              </w:rPr>
                              <w:t>/</w:t>
                            </w:r>
                            <w:r w:rsidR="005F187B">
                              <w:rPr>
                                <w:b/>
                                <w:color w:val="FF0000"/>
                                <w:sz w:val="28"/>
                                <w:lang w:val="en-ZA"/>
                              </w:rPr>
                              <w:t>02</w:t>
                            </w:r>
                            <w:r>
                              <w:rPr>
                                <w:b/>
                                <w:color w:val="FF0000"/>
                                <w:sz w:val="28"/>
                                <w:lang w:val="en-ZA"/>
                              </w:rPr>
                              <w:t>/</w:t>
                            </w:r>
                            <w:r w:rsidR="005F187B">
                              <w:rPr>
                                <w:b/>
                                <w:color w:val="FF0000"/>
                                <w:sz w:val="28"/>
                                <w:lang w:val="en-ZA"/>
                              </w:rPr>
                              <w:t>21</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534590A0" w14:textId="7B6C3615" w:rsidR="00B11722" w:rsidRPr="00A25372" w:rsidRDefault="00B11722" w:rsidP="005F187B">
                                <w:pPr>
                                  <w:pStyle w:val="NoSpacing"/>
                                  <w:jc w:val="both"/>
                                  <w:rPr>
                                    <w:b/>
                                    <w:color w:val="000000" w:themeColor="text1"/>
                                    <w:sz w:val="24"/>
                                    <w:szCs w:val="28"/>
                                  </w:rPr>
                                </w:pPr>
                                <w:r>
                                  <w:rPr>
                                    <w:b/>
                                    <w:color w:val="000000" w:themeColor="text1"/>
                                    <w:sz w:val="24"/>
                                    <w:szCs w:val="28"/>
                                  </w:rPr>
                                  <w:t xml:space="preserve">Describes the post </w:t>
                                </w:r>
                                <w:r w:rsidR="005F187B">
                                  <w:rPr>
                                    <w:b/>
                                    <w:color w:val="000000" w:themeColor="text1"/>
                                    <w:sz w:val="24"/>
                                    <w:szCs w:val="28"/>
                                  </w:rPr>
                                  <w:t>GRV process to validate that goods received and quantities match that of the GRV and purchase order</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534590A0" w14:textId="7B6C3615" w:rsidR="00B11722" w:rsidRPr="00A25372" w:rsidRDefault="00B11722" w:rsidP="005F187B">
                          <w:pPr>
                            <w:pStyle w:val="NoSpacing"/>
                            <w:jc w:val="both"/>
                            <w:rPr>
                              <w:b/>
                              <w:color w:val="000000" w:themeColor="text1"/>
                              <w:sz w:val="24"/>
                              <w:szCs w:val="28"/>
                            </w:rPr>
                          </w:pPr>
                          <w:r>
                            <w:rPr>
                              <w:b/>
                              <w:color w:val="000000" w:themeColor="text1"/>
                              <w:sz w:val="24"/>
                              <w:szCs w:val="28"/>
                            </w:rPr>
                            <w:t xml:space="preserve">Describes the post </w:t>
                          </w:r>
                          <w:r w:rsidR="005F187B">
                            <w:rPr>
                              <w:b/>
                              <w:color w:val="000000" w:themeColor="text1"/>
                              <w:sz w:val="24"/>
                              <w:szCs w:val="28"/>
                            </w:rPr>
                            <w:t>GRV process to validate that goods received and quantities match that of the GRV and purchase order</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13535BCB" w:rsidR="006E3EF6" w:rsidRDefault="005F187B">
                                <w:pPr>
                                  <w:pStyle w:val="NoSpacing"/>
                                  <w:jc w:val="right"/>
                                  <w:rPr>
                                    <w:color w:val="FFFFFF" w:themeColor="background1"/>
                                    <w:sz w:val="72"/>
                                    <w:szCs w:val="72"/>
                                    <w:lang w:val="en-ZA"/>
                                  </w:rPr>
                                </w:pPr>
                                <w:r>
                                  <w:rPr>
                                    <w:color w:val="FFFFFF" w:themeColor="background1"/>
                                    <w:sz w:val="72"/>
                                    <w:szCs w:val="72"/>
                                    <w:lang w:val="en-ZA"/>
                                  </w:rPr>
                                  <w:t>Receiving Job Exception pre RTV</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13535BCB" w:rsidR="006E3EF6" w:rsidRDefault="005F187B">
                          <w:pPr>
                            <w:pStyle w:val="NoSpacing"/>
                            <w:jc w:val="right"/>
                            <w:rPr>
                              <w:color w:val="FFFFFF" w:themeColor="background1"/>
                              <w:sz w:val="72"/>
                              <w:szCs w:val="72"/>
                              <w:lang w:val="en-ZA"/>
                            </w:rPr>
                          </w:pPr>
                          <w:r>
                            <w:rPr>
                              <w:color w:val="FFFFFF" w:themeColor="background1"/>
                              <w:sz w:val="72"/>
                              <w:szCs w:val="72"/>
                              <w:lang w:val="en-ZA"/>
                            </w:rPr>
                            <w:t>Receiving Job Exception pre RTV</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55A4541E" w:rsidR="00FD6D78" w:rsidRDefault="00FD6D78" w:rsidP="0027071C">
      <w:pPr>
        <w:ind w:left="720"/>
        <w:jc w:val="both"/>
      </w:pPr>
    </w:p>
    <w:p w14:paraId="1C3BE6EE" w14:textId="072E7442" w:rsidR="005F187B" w:rsidRDefault="005F187B" w:rsidP="0027071C">
      <w:pPr>
        <w:ind w:left="720"/>
        <w:jc w:val="both"/>
      </w:pPr>
      <w:r>
        <w:t>Post GRV which is the outcome from the capturing of supplier delivery note / invoice, there is a process that groups the verification process in job units.</w:t>
      </w:r>
    </w:p>
    <w:p w14:paraId="1C2EB3F6" w14:textId="584D9C5D" w:rsidR="005F187B" w:rsidRDefault="005F187B" w:rsidP="0027071C">
      <w:pPr>
        <w:ind w:left="720"/>
        <w:jc w:val="both"/>
      </w:pPr>
      <w:r>
        <w:t xml:space="preserve">From the job that is started, items to be checked are lodged </w:t>
      </w:r>
    </w:p>
    <w:p w14:paraId="34747F5E" w14:textId="64FC8557" w:rsidR="005F187B" w:rsidRDefault="005F187B" w:rsidP="0027071C">
      <w:pPr>
        <w:ind w:left="720"/>
        <w:jc w:val="both"/>
      </w:pPr>
      <w:r>
        <w:t>From the items ledged, quantities of labels are printed for qualifying items at the advised theoretical quantities.</w:t>
      </w:r>
    </w:p>
    <w:p w14:paraId="7D764A86" w14:textId="77777777" w:rsidR="005F187B" w:rsidRDefault="005F187B" w:rsidP="0027071C">
      <w:pPr>
        <w:ind w:left="720"/>
        <w:jc w:val="both"/>
      </w:pPr>
      <w:r>
        <w:t xml:space="preserve">After the labelling process is completed per item, there may be labels in surplus and / or short. </w:t>
      </w:r>
    </w:p>
    <w:p w14:paraId="46944348" w14:textId="7494A8F6" w:rsidR="005F187B" w:rsidRDefault="005F187B" w:rsidP="0027071C">
      <w:pPr>
        <w:ind w:left="720"/>
        <w:jc w:val="both"/>
      </w:pPr>
      <w:r>
        <w:t>There may also be visual deficiencies of damage (i.e. light bulbs) or physical variance (not the supersession part). These need to be reviewed with procurement department for resolution.</w:t>
      </w:r>
    </w:p>
    <w:p w14:paraId="44E7E94A" w14:textId="4B3E843A" w:rsidR="005F187B" w:rsidRDefault="005F187B" w:rsidP="0027071C">
      <w:pPr>
        <w:ind w:left="720"/>
        <w:jc w:val="both"/>
      </w:pPr>
      <w:r>
        <w:t>In support of the outcome, there is a report that is used as evidence for review with management and suppliers.</w:t>
      </w:r>
    </w:p>
    <w:p w14:paraId="3D495C38" w14:textId="5864C1E5" w:rsidR="00356A78" w:rsidRDefault="005F187B" w:rsidP="00356A78">
      <w:pPr>
        <w:ind w:left="720"/>
        <w:jc w:val="both"/>
      </w:pPr>
      <w:r>
        <w:t>All goods received that match criteria are release for allocation to a binning job.</w:t>
      </w:r>
    </w:p>
    <w:p w14:paraId="2C6F5525" w14:textId="6BB07970" w:rsidR="008E6EBC" w:rsidRDefault="008E6EBC" w:rsidP="00356A78">
      <w:pPr>
        <w:ind w:left="720"/>
        <w:jc w:val="both"/>
      </w:pPr>
      <w:r>
        <w:t xml:space="preserve">This part of the system is also functional in the binning of received goods. </w:t>
      </w:r>
      <w:r w:rsidRPr="008E6EBC">
        <w:rPr>
          <w:b/>
          <w:i/>
        </w:rPr>
        <w:t>To note goods received cannot be queried by sales staff UNTIL the goods are binned</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24A56D89" w14:textId="7C11E5A8" w:rsidR="005F187B" w:rsidRDefault="005F187B" w:rsidP="00B56AB6">
      <w:pPr>
        <w:ind w:left="720"/>
      </w:pPr>
      <w:r>
        <w:t>Purchasing</w:t>
      </w:r>
    </w:p>
    <w:p w14:paraId="46A8C778" w14:textId="67E70486" w:rsidR="00B56AB6" w:rsidRDefault="00B56AB6" w:rsidP="00B56AB6">
      <w:pPr>
        <w:ind w:left="720"/>
      </w:pPr>
      <w:r>
        <w:t>Receiving</w:t>
      </w:r>
    </w:p>
    <w:p w14:paraId="42E1733F" w14:textId="77777777" w:rsidR="0005442F" w:rsidRDefault="0005442F" w:rsidP="00B56AB6">
      <w:pPr>
        <w:ind w:left="720"/>
      </w:pPr>
      <w:r>
        <w:t xml:space="preserve">Warehouse </w:t>
      </w:r>
    </w:p>
    <w:p w14:paraId="0E4FF766" w14:textId="5B67348B" w:rsidR="00204403" w:rsidRDefault="0005442F" w:rsidP="00B56AB6">
      <w:pPr>
        <w:ind w:left="720"/>
      </w:pPr>
      <w:r>
        <w:t xml:space="preserve">Suppliers </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7879294F" w:rsidR="006D2FE3" w:rsidRDefault="006D2FE3" w:rsidP="00034D37">
      <w:pPr>
        <w:pStyle w:val="Heading1"/>
        <w:numPr>
          <w:ilvl w:val="0"/>
          <w:numId w:val="16"/>
        </w:numPr>
      </w:pPr>
      <w:bookmarkStart w:id="3" w:name="_Toc524948412"/>
      <w:r>
        <w:lastRenderedPageBreak/>
        <w:t>Objectives</w:t>
      </w:r>
      <w:bookmarkEnd w:id="3"/>
    </w:p>
    <w:p w14:paraId="5B32A19A" w14:textId="0FA9E3CF" w:rsidR="006D2FE3" w:rsidRDefault="006D2FE3" w:rsidP="0005442F">
      <w:pPr>
        <w:ind w:left="360"/>
      </w:pPr>
    </w:p>
    <w:p w14:paraId="2D0C1681" w14:textId="7484F650" w:rsidR="00715814" w:rsidRDefault="0005442F" w:rsidP="005F187B">
      <w:pPr>
        <w:ind w:left="360"/>
        <w:jc w:val="both"/>
      </w:pPr>
      <w:r>
        <w:t xml:space="preserve">The objective of </w:t>
      </w:r>
      <w:r w:rsidR="00715814">
        <w:t xml:space="preserve">this sub system is to ensure that ordered goods </w:t>
      </w:r>
      <w:r w:rsidR="005F187B">
        <w:t>match received goods in a co-ordinated manner to allow for proper recording of non-conformance etc. that can be used at any time in the future.</w:t>
      </w:r>
    </w:p>
    <w:p w14:paraId="2BEA50B4" w14:textId="0CA79D7F" w:rsidR="00356A78" w:rsidRDefault="00356A78" w:rsidP="005F187B">
      <w:pPr>
        <w:ind w:left="360"/>
        <w:jc w:val="both"/>
      </w:pPr>
      <w:r>
        <w:t>Furthermore, any discrepancies are integrated into the returns to vendor process. Again, this seems not to be the case. Goods that need to be returned are manually captured, which will likely yield typing errors.</w:t>
      </w:r>
    </w:p>
    <w:p w14:paraId="1551C48A" w14:textId="008B9131" w:rsidR="00451915" w:rsidRDefault="00451915" w:rsidP="005F187B">
      <w:pPr>
        <w:ind w:left="360"/>
        <w:jc w:val="both"/>
      </w:pPr>
      <w:r>
        <w:t xml:space="preserve">This sub-system is deemed to be mission critical as it consolidates several processes that ensures the limiting of human error and optimises the processing requirements. The receiving process as integrated into the ordering process and in conjunction with suppliers, have an underlying automated exception and reporting set of interfaces. </w:t>
      </w:r>
    </w:p>
    <w:p w14:paraId="054DC34B" w14:textId="14D73D0A" w:rsidR="00451915" w:rsidRDefault="00451915" w:rsidP="005F187B">
      <w:pPr>
        <w:ind w:left="360"/>
        <w:jc w:val="both"/>
      </w:pPr>
      <w:r>
        <w:t>Received goods are grouped into jobs based on a set of priority determinations. Out of stock, almost out of stock etc.</w:t>
      </w:r>
    </w:p>
    <w:p w14:paraId="204D531F" w14:textId="62F55FD2" w:rsidR="00451915" w:rsidRDefault="00451915" w:rsidP="005F187B">
      <w:pPr>
        <w:ind w:left="360"/>
        <w:jc w:val="both"/>
      </w:pPr>
      <w:r>
        <w:t>Additionally, some receipts are split into multiple smaller sections to assist in replenishing the compliment of out of stock and almost out of stock items as quickly as possible using the limited resources available.</w:t>
      </w:r>
    </w:p>
    <w:p w14:paraId="7A69F798" w14:textId="4179E221" w:rsidR="00451915" w:rsidRDefault="00451915" w:rsidP="005F187B">
      <w:pPr>
        <w:ind w:left="360"/>
        <w:jc w:val="both"/>
      </w:pPr>
      <w:r>
        <w:t xml:space="preserve">A key optimisation factor is that item labels are printed as per the supplier delivery details without pre-counting the items. At the end of the labelling process, surplus / shortage of labels </w:t>
      </w:r>
      <w:r w:rsidR="00FD35CD">
        <w:t>constitutes</w:t>
      </w:r>
      <w:r>
        <w:t xml:space="preserve"> a formal item count </w:t>
      </w:r>
      <w:r w:rsidR="00FD35CD">
        <w:t>as received where over labels indicate item short supply and short on labels indicate items are over-supplied.</w:t>
      </w:r>
    </w:p>
    <w:p w14:paraId="7BE4DA83" w14:textId="069019C5" w:rsidR="00FD35CD" w:rsidRDefault="00FD35CD" w:rsidP="005F187B">
      <w:pPr>
        <w:ind w:left="360"/>
        <w:jc w:val="both"/>
      </w:pPr>
      <w:r>
        <w:t xml:space="preserve">There is a jobbing sub-system with staff association for accountability. The results of the jobbed labelling process </w:t>
      </w:r>
      <w:proofErr w:type="gramStart"/>
      <w:r>
        <w:t>is</w:t>
      </w:r>
      <w:proofErr w:type="gramEnd"/>
      <w:r>
        <w:t xml:space="preserve"> captured with a number of possible finding i.e. over supply, short supply, items received not ordered etc.</w:t>
      </w:r>
    </w:p>
    <w:p w14:paraId="5425DB78" w14:textId="25ACD986" w:rsidR="00FD35CD" w:rsidRDefault="00FD35CD" w:rsidP="005F187B">
      <w:pPr>
        <w:ind w:left="360"/>
        <w:jc w:val="both"/>
      </w:pPr>
      <w:r>
        <w:t xml:space="preserve">The outcome is printed and reviewed with the supplier and / or ordering department for resolution. Current practice is to pass </w:t>
      </w:r>
      <w:proofErr w:type="gramStart"/>
      <w:r>
        <w:t>a</w:t>
      </w:r>
      <w:proofErr w:type="gramEnd"/>
      <w:r>
        <w:t xml:space="preserve"> RTV for short supply, known as returns before binning which provides a supplier remittance tracking entry</w:t>
      </w:r>
    </w:p>
    <w:p w14:paraId="22E90804" w14:textId="02C454D1" w:rsidR="00451915" w:rsidRDefault="008E6EBC" w:rsidP="005F187B">
      <w:pPr>
        <w:ind w:left="360"/>
        <w:jc w:val="both"/>
      </w:pPr>
      <w:r>
        <w:t>As soon as a labelling job is complete, the verified received in order goods are scheduled for binning to their allocated bin locations.</w:t>
      </w:r>
    </w:p>
    <w:p w14:paraId="40F67FBC" w14:textId="54E186CB" w:rsidR="008E6EBC" w:rsidRDefault="008E6EBC" w:rsidP="005F187B">
      <w:pPr>
        <w:ind w:left="360"/>
        <w:jc w:val="both"/>
      </w:pPr>
      <w:r>
        <w:t>On completion of the binning job, the quantity on hand is updated and the sales process is able to gain access to the just binned goods.</w:t>
      </w:r>
      <w:bookmarkStart w:id="4" w:name="_GoBack"/>
      <w:bookmarkEnd w:id="4"/>
    </w:p>
    <w:p w14:paraId="13E28715" w14:textId="77777777" w:rsidR="00451915" w:rsidRDefault="00451915">
      <w:pPr>
        <w:rPr>
          <w:rFonts w:asciiTheme="majorHAnsi" w:eastAsiaTheme="majorEastAsia" w:hAnsiTheme="majorHAnsi" w:cstheme="majorBidi"/>
          <w:color w:val="2F5496" w:themeColor="accent1" w:themeShade="BF"/>
          <w:sz w:val="32"/>
          <w:szCs w:val="32"/>
        </w:rPr>
      </w:pPr>
      <w:bookmarkStart w:id="5" w:name="_Toc535491637"/>
      <w:bookmarkStart w:id="6" w:name="_Toc524948413"/>
      <w:r>
        <w:br w:type="page"/>
      </w:r>
    </w:p>
    <w:p w14:paraId="16207932" w14:textId="55086376" w:rsidR="005F187B" w:rsidRDefault="005F187B" w:rsidP="005F187B">
      <w:pPr>
        <w:pStyle w:val="Heading1"/>
        <w:numPr>
          <w:ilvl w:val="0"/>
          <w:numId w:val="16"/>
        </w:numPr>
      </w:pPr>
      <w:r>
        <w:lastRenderedPageBreak/>
        <w:t>Database entities and relationships</w:t>
      </w:r>
      <w:bookmarkEnd w:id="5"/>
    </w:p>
    <w:p w14:paraId="76D63E9D" w14:textId="3DDC84F4" w:rsidR="005F187B" w:rsidRPr="00B57BA8" w:rsidRDefault="00451915" w:rsidP="005F187B">
      <w:r>
        <w:rPr>
          <w:noProof/>
        </w:rPr>
        <w:drawing>
          <wp:anchor distT="0" distB="0" distL="114300" distR="114300" simplePos="0" relativeHeight="251665408" behindDoc="0" locked="0" layoutInCell="1" allowOverlap="1" wp14:anchorId="53289A35" wp14:editId="4B573DD3">
            <wp:simplePos x="0" y="0"/>
            <wp:positionH relativeFrom="column">
              <wp:posOffset>-519430</wp:posOffset>
            </wp:positionH>
            <wp:positionV relativeFrom="paragraph">
              <wp:posOffset>170815</wp:posOffset>
            </wp:positionV>
            <wp:extent cx="7035165" cy="6736715"/>
            <wp:effectExtent l="0" t="0" r="0" b="6985"/>
            <wp:wrapTopAndBottom/>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035165" cy="673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4067C" w14:textId="77777777" w:rsidR="00451915" w:rsidRDefault="00451915">
      <w:pPr>
        <w:rPr>
          <w:rFonts w:asciiTheme="majorHAnsi" w:eastAsiaTheme="majorEastAsia" w:hAnsiTheme="majorHAnsi" w:cstheme="majorBidi"/>
          <w:color w:val="2F5496" w:themeColor="accent1" w:themeShade="BF"/>
          <w:sz w:val="32"/>
          <w:szCs w:val="32"/>
        </w:rPr>
      </w:pPr>
      <w:bookmarkStart w:id="7" w:name="_Toc535491638"/>
      <w:r>
        <w:br w:type="page"/>
      </w:r>
    </w:p>
    <w:p w14:paraId="142D09DE" w14:textId="7464EA78" w:rsidR="005F187B" w:rsidRDefault="005F187B" w:rsidP="005F187B">
      <w:pPr>
        <w:pStyle w:val="Heading1"/>
        <w:numPr>
          <w:ilvl w:val="0"/>
          <w:numId w:val="16"/>
        </w:numPr>
      </w:pPr>
      <w:r>
        <w:lastRenderedPageBreak/>
        <w:t>Programs</w:t>
      </w:r>
      <w:bookmarkEnd w:id="7"/>
    </w:p>
    <w:p w14:paraId="1EE054CE" w14:textId="77777777" w:rsidR="005F187B" w:rsidRDefault="005F187B" w:rsidP="005F187B">
      <w:pPr>
        <w:pStyle w:val="Heading1"/>
        <w:numPr>
          <w:ilvl w:val="1"/>
          <w:numId w:val="16"/>
        </w:numPr>
      </w:pPr>
      <w:bookmarkStart w:id="8" w:name="_Toc535491639"/>
      <w:r>
        <w:t>MS Windows Executables</w:t>
      </w:r>
      <w:bookmarkEnd w:id="8"/>
    </w:p>
    <w:tbl>
      <w:tblPr>
        <w:tblStyle w:val="TableGrid"/>
        <w:tblW w:w="0" w:type="auto"/>
        <w:tblInd w:w="846" w:type="dxa"/>
        <w:tblLook w:val="04A0" w:firstRow="1" w:lastRow="0" w:firstColumn="1" w:lastColumn="0" w:noHBand="0" w:noVBand="1"/>
      </w:tblPr>
      <w:tblGrid>
        <w:gridCol w:w="2727"/>
        <w:gridCol w:w="5437"/>
      </w:tblGrid>
      <w:tr w:rsidR="005F187B" w:rsidRPr="004D4FE6" w14:paraId="13E26D4D" w14:textId="77777777" w:rsidTr="00A64930">
        <w:tc>
          <w:tcPr>
            <w:tcW w:w="2727" w:type="dxa"/>
            <w:vAlign w:val="center"/>
          </w:tcPr>
          <w:p w14:paraId="1F221D6F" w14:textId="77777777" w:rsidR="005F187B" w:rsidRPr="004D4FE6" w:rsidRDefault="005F187B" w:rsidP="00877260">
            <w:pPr>
              <w:jc w:val="center"/>
              <w:rPr>
                <w:b/>
              </w:rPr>
            </w:pPr>
            <w:r w:rsidRPr="004D4FE6">
              <w:rPr>
                <w:b/>
              </w:rPr>
              <w:t>Name</w:t>
            </w:r>
          </w:p>
        </w:tc>
        <w:tc>
          <w:tcPr>
            <w:tcW w:w="5437" w:type="dxa"/>
            <w:vAlign w:val="center"/>
          </w:tcPr>
          <w:p w14:paraId="7ACFE072" w14:textId="77777777" w:rsidR="005F187B" w:rsidRPr="004D4FE6" w:rsidRDefault="005F187B" w:rsidP="00877260">
            <w:pPr>
              <w:jc w:val="center"/>
              <w:rPr>
                <w:b/>
              </w:rPr>
            </w:pPr>
            <w:r w:rsidRPr="004D4FE6">
              <w:rPr>
                <w:b/>
              </w:rPr>
              <w:t>Description</w:t>
            </w:r>
          </w:p>
        </w:tc>
      </w:tr>
      <w:tr w:rsidR="00A64930" w:rsidRPr="00A64930" w14:paraId="22390646" w14:textId="77777777" w:rsidTr="00A64930">
        <w:trPr>
          <w:trHeight w:val="300"/>
        </w:trPr>
        <w:tc>
          <w:tcPr>
            <w:tcW w:w="2727" w:type="dxa"/>
            <w:noWrap/>
            <w:hideMark/>
          </w:tcPr>
          <w:p w14:paraId="15278D3A" w14:textId="77777777" w:rsidR="00A64930" w:rsidRPr="00A64930" w:rsidRDefault="00A64930" w:rsidP="00A64930">
            <w:pPr>
              <w:rPr>
                <w:rFonts w:ascii="Calibri" w:eastAsia="Times New Roman" w:hAnsi="Calibri" w:cs="Calibri"/>
                <w:color w:val="000000"/>
                <w:lang w:eastAsia="en-ZA"/>
              </w:rPr>
            </w:pPr>
            <w:bookmarkStart w:id="9" w:name="_Toc535491640"/>
            <w:proofErr w:type="spellStart"/>
            <w:r w:rsidRPr="00A64930">
              <w:rPr>
                <w:rFonts w:ascii="Calibri" w:eastAsia="Times New Roman" w:hAnsi="Calibri" w:cs="Calibri"/>
                <w:color w:val="000000"/>
                <w:lang w:eastAsia="en-ZA"/>
              </w:rPr>
              <w:t>recJobAnnounce</w:t>
            </w:r>
            <w:proofErr w:type="spellEnd"/>
          </w:p>
        </w:tc>
        <w:tc>
          <w:tcPr>
            <w:tcW w:w="5437" w:type="dxa"/>
            <w:noWrap/>
            <w:hideMark/>
          </w:tcPr>
          <w:p w14:paraId="2961A664" w14:textId="5BD4461C" w:rsidR="00A64930" w:rsidRPr="00A64930" w:rsidRDefault="00A64930" w:rsidP="00A64930">
            <w:pPr>
              <w:rPr>
                <w:rFonts w:ascii="Calibri" w:eastAsia="Times New Roman" w:hAnsi="Calibri" w:cs="Calibri"/>
                <w:color w:val="000000"/>
                <w:lang w:eastAsia="en-ZA"/>
              </w:rPr>
            </w:pPr>
            <w:r>
              <w:rPr>
                <w:rFonts w:ascii="Calibri" w:eastAsia="Times New Roman" w:hAnsi="Calibri" w:cs="Calibri"/>
                <w:color w:val="000000"/>
                <w:lang w:eastAsia="en-ZA"/>
              </w:rPr>
              <w:t>Create a new job and capture related detail</w:t>
            </w:r>
          </w:p>
        </w:tc>
      </w:tr>
      <w:tr w:rsidR="00A64930" w:rsidRPr="00A64930" w14:paraId="550C8789" w14:textId="77777777" w:rsidTr="00A64930">
        <w:trPr>
          <w:trHeight w:val="300"/>
        </w:trPr>
        <w:tc>
          <w:tcPr>
            <w:tcW w:w="2727" w:type="dxa"/>
            <w:noWrap/>
            <w:hideMark/>
          </w:tcPr>
          <w:p w14:paraId="00B26AE6"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recJobHandleDiscrepancies</w:t>
            </w:r>
            <w:proofErr w:type="spellEnd"/>
          </w:p>
        </w:tc>
        <w:tc>
          <w:tcPr>
            <w:tcW w:w="5437" w:type="dxa"/>
            <w:noWrap/>
            <w:hideMark/>
          </w:tcPr>
          <w:p w14:paraId="57BBA743" w14:textId="790EA881" w:rsidR="00A64930" w:rsidRPr="00A64930" w:rsidRDefault="00A64930" w:rsidP="00A64930">
            <w:pPr>
              <w:rPr>
                <w:rFonts w:ascii="Calibri" w:eastAsia="Times New Roman" w:hAnsi="Calibri" w:cs="Calibri"/>
                <w:color w:val="000000"/>
                <w:lang w:eastAsia="en-ZA"/>
              </w:rPr>
            </w:pPr>
            <w:r>
              <w:rPr>
                <w:rFonts w:ascii="Calibri" w:eastAsia="Times New Roman" w:hAnsi="Calibri" w:cs="Calibri"/>
                <w:color w:val="000000"/>
                <w:lang w:eastAsia="en-ZA"/>
              </w:rPr>
              <w:t>Variance management on the job</w:t>
            </w:r>
          </w:p>
        </w:tc>
      </w:tr>
      <w:tr w:rsidR="00A64930" w:rsidRPr="00A64930" w14:paraId="11DF4C17" w14:textId="77777777" w:rsidTr="00A64930">
        <w:trPr>
          <w:trHeight w:val="300"/>
        </w:trPr>
        <w:tc>
          <w:tcPr>
            <w:tcW w:w="2727" w:type="dxa"/>
            <w:noWrap/>
            <w:hideMark/>
          </w:tcPr>
          <w:p w14:paraId="5CB88209"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recMaintainJobs</w:t>
            </w:r>
            <w:proofErr w:type="spellEnd"/>
          </w:p>
        </w:tc>
        <w:tc>
          <w:tcPr>
            <w:tcW w:w="5437" w:type="dxa"/>
            <w:noWrap/>
            <w:hideMark/>
          </w:tcPr>
          <w:p w14:paraId="2D61895C" w14:textId="77777777" w:rsidR="00A64930" w:rsidRPr="00A64930" w:rsidRDefault="00A64930" w:rsidP="00A64930">
            <w:pPr>
              <w:rPr>
                <w:rFonts w:ascii="Calibri" w:eastAsia="Times New Roman" w:hAnsi="Calibri" w:cs="Calibri"/>
                <w:color w:val="000000"/>
                <w:lang w:eastAsia="en-ZA"/>
              </w:rPr>
            </w:pPr>
          </w:p>
        </w:tc>
      </w:tr>
      <w:tr w:rsidR="00A64930" w:rsidRPr="00A64930" w14:paraId="7421D0AA" w14:textId="77777777" w:rsidTr="00A64930">
        <w:trPr>
          <w:trHeight w:val="300"/>
        </w:trPr>
        <w:tc>
          <w:tcPr>
            <w:tcW w:w="2727" w:type="dxa"/>
            <w:noWrap/>
            <w:hideMark/>
          </w:tcPr>
          <w:p w14:paraId="3E76D4A3"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recMaintainLabelJobReason</w:t>
            </w:r>
            <w:proofErr w:type="spellEnd"/>
          </w:p>
        </w:tc>
        <w:tc>
          <w:tcPr>
            <w:tcW w:w="5437" w:type="dxa"/>
            <w:noWrap/>
            <w:hideMark/>
          </w:tcPr>
          <w:p w14:paraId="6FC85996" w14:textId="77777777" w:rsidR="00A64930" w:rsidRPr="00A64930" w:rsidRDefault="00A64930" w:rsidP="00A64930">
            <w:pPr>
              <w:rPr>
                <w:rFonts w:ascii="Calibri" w:eastAsia="Times New Roman" w:hAnsi="Calibri" w:cs="Calibri"/>
                <w:color w:val="000000"/>
                <w:lang w:eastAsia="en-ZA"/>
              </w:rPr>
            </w:pPr>
          </w:p>
        </w:tc>
      </w:tr>
      <w:tr w:rsidR="00A64930" w:rsidRPr="00A64930" w14:paraId="37B24C96" w14:textId="77777777" w:rsidTr="00A64930">
        <w:trPr>
          <w:trHeight w:val="300"/>
        </w:trPr>
        <w:tc>
          <w:tcPr>
            <w:tcW w:w="2727" w:type="dxa"/>
            <w:noWrap/>
            <w:hideMark/>
          </w:tcPr>
          <w:p w14:paraId="504F0FA7"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recMaintainTeamSupplier</w:t>
            </w:r>
            <w:proofErr w:type="spellEnd"/>
          </w:p>
        </w:tc>
        <w:tc>
          <w:tcPr>
            <w:tcW w:w="5437" w:type="dxa"/>
            <w:noWrap/>
            <w:hideMark/>
          </w:tcPr>
          <w:p w14:paraId="04186A4A" w14:textId="77777777" w:rsidR="00A64930" w:rsidRPr="00A64930" w:rsidRDefault="00A64930" w:rsidP="00A64930">
            <w:pPr>
              <w:rPr>
                <w:rFonts w:ascii="Calibri" w:eastAsia="Times New Roman" w:hAnsi="Calibri" w:cs="Calibri"/>
                <w:color w:val="000000"/>
                <w:lang w:eastAsia="en-ZA"/>
              </w:rPr>
            </w:pPr>
          </w:p>
        </w:tc>
      </w:tr>
      <w:tr w:rsidR="00A64930" w:rsidRPr="00A64930" w14:paraId="02098A02" w14:textId="77777777" w:rsidTr="00A64930">
        <w:trPr>
          <w:trHeight w:val="300"/>
        </w:trPr>
        <w:tc>
          <w:tcPr>
            <w:tcW w:w="2727" w:type="dxa"/>
            <w:noWrap/>
            <w:hideMark/>
          </w:tcPr>
          <w:p w14:paraId="4E30D6B5"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recMaintainUserTeamTable</w:t>
            </w:r>
            <w:proofErr w:type="spellEnd"/>
          </w:p>
        </w:tc>
        <w:tc>
          <w:tcPr>
            <w:tcW w:w="5437" w:type="dxa"/>
            <w:noWrap/>
            <w:hideMark/>
          </w:tcPr>
          <w:p w14:paraId="42A9AAC8" w14:textId="77777777" w:rsidR="00A64930" w:rsidRPr="00A64930" w:rsidRDefault="00A64930" w:rsidP="00A64930">
            <w:pPr>
              <w:rPr>
                <w:rFonts w:ascii="Calibri" w:eastAsia="Times New Roman" w:hAnsi="Calibri" w:cs="Calibri"/>
                <w:color w:val="000000"/>
                <w:lang w:eastAsia="en-ZA"/>
              </w:rPr>
            </w:pPr>
          </w:p>
        </w:tc>
      </w:tr>
      <w:tr w:rsidR="00A64930" w:rsidRPr="00A64930" w14:paraId="675194B2" w14:textId="77777777" w:rsidTr="00A64930">
        <w:trPr>
          <w:trHeight w:val="300"/>
        </w:trPr>
        <w:tc>
          <w:tcPr>
            <w:tcW w:w="2727" w:type="dxa"/>
            <w:noWrap/>
            <w:hideMark/>
          </w:tcPr>
          <w:p w14:paraId="43002FEA"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recPrintBinningReport</w:t>
            </w:r>
            <w:proofErr w:type="spellEnd"/>
          </w:p>
        </w:tc>
        <w:tc>
          <w:tcPr>
            <w:tcW w:w="5437" w:type="dxa"/>
            <w:noWrap/>
            <w:hideMark/>
          </w:tcPr>
          <w:p w14:paraId="793AFEE5" w14:textId="77777777" w:rsidR="00A64930" w:rsidRPr="00A64930" w:rsidRDefault="00A64930" w:rsidP="00A64930">
            <w:pPr>
              <w:rPr>
                <w:rFonts w:ascii="Calibri" w:eastAsia="Times New Roman" w:hAnsi="Calibri" w:cs="Calibri"/>
                <w:color w:val="000000"/>
                <w:lang w:eastAsia="en-ZA"/>
              </w:rPr>
            </w:pPr>
          </w:p>
        </w:tc>
      </w:tr>
      <w:tr w:rsidR="00A64930" w:rsidRPr="00A64930" w14:paraId="14D63B2B" w14:textId="77777777" w:rsidTr="00A64930">
        <w:trPr>
          <w:trHeight w:val="300"/>
        </w:trPr>
        <w:tc>
          <w:tcPr>
            <w:tcW w:w="2727" w:type="dxa"/>
            <w:noWrap/>
            <w:hideMark/>
          </w:tcPr>
          <w:p w14:paraId="3FC25418"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recRFCCollectScanning</w:t>
            </w:r>
            <w:proofErr w:type="spellEnd"/>
          </w:p>
        </w:tc>
        <w:tc>
          <w:tcPr>
            <w:tcW w:w="5437" w:type="dxa"/>
            <w:noWrap/>
            <w:hideMark/>
          </w:tcPr>
          <w:p w14:paraId="1D20F7FC" w14:textId="5644E052" w:rsidR="00A64930" w:rsidRPr="00A64930" w:rsidRDefault="00A64930" w:rsidP="00A64930">
            <w:pPr>
              <w:rPr>
                <w:rFonts w:ascii="Calibri" w:eastAsia="Times New Roman" w:hAnsi="Calibri" w:cs="Calibri"/>
                <w:color w:val="000000"/>
                <w:lang w:eastAsia="en-ZA"/>
              </w:rPr>
            </w:pPr>
            <w:r>
              <w:rPr>
                <w:rFonts w:ascii="Calibri" w:eastAsia="Times New Roman" w:hAnsi="Calibri" w:cs="Calibri"/>
                <w:color w:val="000000"/>
                <w:lang w:eastAsia="en-ZA"/>
              </w:rPr>
              <w:t>ePart delivery system integration to return supplier goods or to collect goods from supplier</w:t>
            </w:r>
          </w:p>
        </w:tc>
      </w:tr>
    </w:tbl>
    <w:p w14:paraId="6C914478" w14:textId="77777777" w:rsidR="005F187B" w:rsidRPr="00F850B0" w:rsidRDefault="005F187B" w:rsidP="005F187B">
      <w:pPr>
        <w:pStyle w:val="Heading1"/>
        <w:numPr>
          <w:ilvl w:val="1"/>
          <w:numId w:val="16"/>
        </w:numPr>
      </w:pPr>
      <w:r>
        <w:t>SQL Stored Procedures</w:t>
      </w:r>
      <w:bookmarkEnd w:id="9"/>
    </w:p>
    <w:tbl>
      <w:tblPr>
        <w:tblStyle w:val="TableGrid"/>
        <w:tblW w:w="0" w:type="auto"/>
        <w:tblInd w:w="846" w:type="dxa"/>
        <w:tblLook w:val="04A0" w:firstRow="1" w:lastRow="0" w:firstColumn="1" w:lastColumn="0" w:noHBand="0" w:noVBand="1"/>
      </w:tblPr>
      <w:tblGrid>
        <w:gridCol w:w="4176"/>
        <w:gridCol w:w="3994"/>
      </w:tblGrid>
      <w:tr w:rsidR="005F187B" w:rsidRPr="004D4FE6" w14:paraId="7C482982" w14:textId="77777777" w:rsidTr="00A64930">
        <w:tc>
          <w:tcPr>
            <w:tcW w:w="4176" w:type="dxa"/>
            <w:vAlign w:val="center"/>
          </w:tcPr>
          <w:p w14:paraId="1BFCB172" w14:textId="77777777" w:rsidR="005F187B" w:rsidRPr="004D4FE6" w:rsidRDefault="005F187B" w:rsidP="00877260">
            <w:pPr>
              <w:jc w:val="center"/>
              <w:rPr>
                <w:b/>
              </w:rPr>
            </w:pPr>
            <w:r w:rsidRPr="004D4FE6">
              <w:rPr>
                <w:b/>
              </w:rPr>
              <w:t>Name</w:t>
            </w:r>
          </w:p>
        </w:tc>
        <w:tc>
          <w:tcPr>
            <w:tcW w:w="3994" w:type="dxa"/>
            <w:vAlign w:val="center"/>
          </w:tcPr>
          <w:p w14:paraId="48303403" w14:textId="77777777" w:rsidR="005F187B" w:rsidRPr="004D4FE6" w:rsidRDefault="005F187B" w:rsidP="00877260">
            <w:pPr>
              <w:jc w:val="center"/>
              <w:rPr>
                <w:b/>
              </w:rPr>
            </w:pPr>
            <w:r w:rsidRPr="004D4FE6">
              <w:rPr>
                <w:b/>
              </w:rPr>
              <w:t>Description</w:t>
            </w:r>
          </w:p>
        </w:tc>
      </w:tr>
      <w:tr w:rsidR="00A64930" w:rsidRPr="00A64930" w14:paraId="3755E5DD" w14:textId="77777777" w:rsidTr="00A64930">
        <w:trPr>
          <w:trHeight w:val="300"/>
        </w:trPr>
        <w:tc>
          <w:tcPr>
            <w:tcW w:w="4176" w:type="dxa"/>
            <w:noWrap/>
            <w:hideMark/>
          </w:tcPr>
          <w:p w14:paraId="1ADE66F5"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recBinningReportAlternateBins.sql</w:t>
            </w:r>
            <w:proofErr w:type="spellEnd"/>
          </w:p>
        </w:tc>
        <w:tc>
          <w:tcPr>
            <w:tcW w:w="3994" w:type="dxa"/>
            <w:noWrap/>
            <w:hideMark/>
          </w:tcPr>
          <w:p w14:paraId="61208331" w14:textId="39B43342" w:rsidR="00A64930" w:rsidRPr="00A64930" w:rsidRDefault="00A64930" w:rsidP="00A64930">
            <w:pPr>
              <w:rPr>
                <w:rFonts w:ascii="Calibri" w:eastAsia="Times New Roman" w:hAnsi="Calibri" w:cs="Calibri"/>
                <w:color w:val="000000"/>
                <w:lang w:eastAsia="en-ZA"/>
              </w:rPr>
            </w:pPr>
            <w:r>
              <w:rPr>
                <w:rFonts w:ascii="Calibri" w:eastAsia="Times New Roman" w:hAnsi="Calibri" w:cs="Calibri"/>
                <w:color w:val="000000"/>
                <w:lang w:eastAsia="en-ZA"/>
              </w:rPr>
              <w:t>View where the processed goods must be binned</w:t>
            </w:r>
          </w:p>
        </w:tc>
      </w:tr>
      <w:tr w:rsidR="00A64930" w:rsidRPr="00A64930" w14:paraId="050875F6" w14:textId="77777777" w:rsidTr="00A64930">
        <w:trPr>
          <w:trHeight w:val="300"/>
        </w:trPr>
        <w:tc>
          <w:tcPr>
            <w:tcW w:w="4176" w:type="dxa"/>
            <w:noWrap/>
            <w:hideMark/>
          </w:tcPr>
          <w:p w14:paraId="75601ACF"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recBinningReportFirstPrint.sql</w:t>
            </w:r>
            <w:proofErr w:type="spellEnd"/>
          </w:p>
        </w:tc>
        <w:tc>
          <w:tcPr>
            <w:tcW w:w="3994" w:type="dxa"/>
            <w:noWrap/>
            <w:hideMark/>
          </w:tcPr>
          <w:p w14:paraId="02F17B01" w14:textId="77777777" w:rsidR="00A64930" w:rsidRPr="00A64930" w:rsidRDefault="00A64930" w:rsidP="00A64930">
            <w:pPr>
              <w:rPr>
                <w:rFonts w:ascii="Calibri" w:eastAsia="Times New Roman" w:hAnsi="Calibri" w:cs="Calibri"/>
                <w:color w:val="000000"/>
                <w:lang w:eastAsia="en-ZA"/>
              </w:rPr>
            </w:pPr>
          </w:p>
        </w:tc>
      </w:tr>
      <w:tr w:rsidR="00A64930" w:rsidRPr="00A64930" w14:paraId="3BC80906" w14:textId="77777777" w:rsidTr="00A64930">
        <w:trPr>
          <w:trHeight w:val="300"/>
        </w:trPr>
        <w:tc>
          <w:tcPr>
            <w:tcW w:w="4176" w:type="dxa"/>
            <w:noWrap/>
            <w:hideMark/>
          </w:tcPr>
          <w:p w14:paraId="30A2125F"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recBinningReportParamsAdd.sql</w:t>
            </w:r>
            <w:proofErr w:type="spellEnd"/>
          </w:p>
        </w:tc>
        <w:tc>
          <w:tcPr>
            <w:tcW w:w="3994" w:type="dxa"/>
            <w:noWrap/>
            <w:hideMark/>
          </w:tcPr>
          <w:p w14:paraId="54A7933A" w14:textId="77777777" w:rsidR="00A64930" w:rsidRPr="00A64930" w:rsidRDefault="00A64930" w:rsidP="00A64930">
            <w:pPr>
              <w:rPr>
                <w:rFonts w:ascii="Calibri" w:eastAsia="Times New Roman" w:hAnsi="Calibri" w:cs="Calibri"/>
                <w:color w:val="000000"/>
                <w:lang w:eastAsia="en-ZA"/>
              </w:rPr>
            </w:pPr>
          </w:p>
        </w:tc>
      </w:tr>
      <w:tr w:rsidR="00A64930" w:rsidRPr="00A64930" w14:paraId="07716EC3" w14:textId="77777777" w:rsidTr="00A64930">
        <w:trPr>
          <w:trHeight w:val="300"/>
        </w:trPr>
        <w:tc>
          <w:tcPr>
            <w:tcW w:w="4176" w:type="dxa"/>
            <w:noWrap/>
            <w:hideMark/>
          </w:tcPr>
          <w:p w14:paraId="040F1163"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recBinningReportReprint.sql</w:t>
            </w:r>
            <w:proofErr w:type="spellEnd"/>
          </w:p>
        </w:tc>
        <w:tc>
          <w:tcPr>
            <w:tcW w:w="3994" w:type="dxa"/>
            <w:noWrap/>
            <w:hideMark/>
          </w:tcPr>
          <w:p w14:paraId="511AAD26" w14:textId="77777777" w:rsidR="00A64930" w:rsidRPr="00A64930" w:rsidRDefault="00A64930" w:rsidP="00A64930">
            <w:pPr>
              <w:rPr>
                <w:rFonts w:ascii="Calibri" w:eastAsia="Times New Roman" w:hAnsi="Calibri" w:cs="Calibri"/>
                <w:color w:val="000000"/>
                <w:lang w:eastAsia="en-ZA"/>
              </w:rPr>
            </w:pPr>
          </w:p>
        </w:tc>
      </w:tr>
      <w:tr w:rsidR="00A64930" w:rsidRPr="00A64930" w14:paraId="7F426631" w14:textId="77777777" w:rsidTr="00A64930">
        <w:trPr>
          <w:trHeight w:val="300"/>
        </w:trPr>
        <w:tc>
          <w:tcPr>
            <w:tcW w:w="4176" w:type="dxa"/>
            <w:noWrap/>
            <w:hideMark/>
          </w:tcPr>
          <w:p w14:paraId="25B2EE28"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recEMailDiscrepancyList.sql</w:t>
            </w:r>
            <w:proofErr w:type="spellEnd"/>
          </w:p>
        </w:tc>
        <w:tc>
          <w:tcPr>
            <w:tcW w:w="3994" w:type="dxa"/>
            <w:noWrap/>
            <w:hideMark/>
          </w:tcPr>
          <w:p w14:paraId="5C673AAA" w14:textId="77777777" w:rsidR="00A64930" w:rsidRPr="00A64930" w:rsidRDefault="00A64930" w:rsidP="00A64930">
            <w:pPr>
              <w:rPr>
                <w:rFonts w:ascii="Calibri" w:eastAsia="Times New Roman" w:hAnsi="Calibri" w:cs="Calibri"/>
                <w:color w:val="000000"/>
                <w:lang w:eastAsia="en-ZA"/>
              </w:rPr>
            </w:pPr>
          </w:p>
        </w:tc>
      </w:tr>
      <w:tr w:rsidR="00A64930" w:rsidRPr="00A64930" w14:paraId="355C00F4" w14:textId="77777777" w:rsidTr="00A64930">
        <w:trPr>
          <w:trHeight w:val="300"/>
        </w:trPr>
        <w:tc>
          <w:tcPr>
            <w:tcW w:w="4176" w:type="dxa"/>
            <w:noWrap/>
            <w:hideMark/>
          </w:tcPr>
          <w:p w14:paraId="31576F38"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recGRVCaptureSerial.sql</w:t>
            </w:r>
            <w:proofErr w:type="spellEnd"/>
          </w:p>
        </w:tc>
        <w:tc>
          <w:tcPr>
            <w:tcW w:w="3994" w:type="dxa"/>
            <w:noWrap/>
            <w:hideMark/>
          </w:tcPr>
          <w:p w14:paraId="02529648" w14:textId="77777777" w:rsidR="00A64930" w:rsidRPr="00A64930" w:rsidRDefault="00A64930" w:rsidP="00A64930">
            <w:pPr>
              <w:rPr>
                <w:rFonts w:ascii="Calibri" w:eastAsia="Times New Roman" w:hAnsi="Calibri" w:cs="Calibri"/>
                <w:color w:val="000000"/>
                <w:lang w:eastAsia="en-ZA"/>
              </w:rPr>
            </w:pPr>
          </w:p>
        </w:tc>
      </w:tr>
      <w:tr w:rsidR="00A64930" w:rsidRPr="00A64930" w14:paraId="29B26C76" w14:textId="77777777" w:rsidTr="00A64930">
        <w:trPr>
          <w:trHeight w:val="300"/>
        </w:trPr>
        <w:tc>
          <w:tcPr>
            <w:tcW w:w="4176" w:type="dxa"/>
            <w:noWrap/>
            <w:hideMark/>
          </w:tcPr>
          <w:p w14:paraId="259D5E58"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recGRVCheckInvDate.sql</w:t>
            </w:r>
            <w:proofErr w:type="spellEnd"/>
          </w:p>
        </w:tc>
        <w:tc>
          <w:tcPr>
            <w:tcW w:w="3994" w:type="dxa"/>
            <w:noWrap/>
            <w:hideMark/>
          </w:tcPr>
          <w:p w14:paraId="21392E50" w14:textId="77777777" w:rsidR="00A64930" w:rsidRPr="00A64930" w:rsidRDefault="00A64930" w:rsidP="00A64930">
            <w:pPr>
              <w:rPr>
                <w:rFonts w:ascii="Calibri" w:eastAsia="Times New Roman" w:hAnsi="Calibri" w:cs="Calibri"/>
                <w:color w:val="000000"/>
                <w:lang w:eastAsia="en-ZA"/>
              </w:rPr>
            </w:pPr>
          </w:p>
        </w:tc>
      </w:tr>
      <w:tr w:rsidR="00A64930" w:rsidRPr="00A64930" w14:paraId="070FCC51" w14:textId="77777777" w:rsidTr="00A64930">
        <w:trPr>
          <w:trHeight w:val="300"/>
        </w:trPr>
        <w:tc>
          <w:tcPr>
            <w:tcW w:w="4176" w:type="dxa"/>
            <w:noWrap/>
            <w:hideMark/>
          </w:tcPr>
          <w:p w14:paraId="3CF7A397"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recGRVGetSerialCaptureList.sql</w:t>
            </w:r>
            <w:proofErr w:type="spellEnd"/>
          </w:p>
        </w:tc>
        <w:tc>
          <w:tcPr>
            <w:tcW w:w="3994" w:type="dxa"/>
            <w:noWrap/>
            <w:hideMark/>
          </w:tcPr>
          <w:p w14:paraId="034B9E98" w14:textId="77777777" w:rsidR="00A64930" w:rsidRPr="00A64930" w:rsidRDefault="00A64930" w:rsidP="00A64930">
            <w:pPr>
              <w:rPr>
                <w:rFonts w:ascii="Calibri" w:eastAsia="Times New Roman" w:hAnsi="Calibri" w:cs="Calibri"/>
                <w:color w:val="000000"/>
                <w:lang w:eastAsia="en-ZA"/>
              </w:rPr>
            </w:pPr>
          </w:p>
        </w:tc>
      </w:tr>
      <w:tr w:rsidR="00A64930" w:rsidRPr="00A64930" w14:paraId="6E1A943C" w14:textId="77777777" w:rsidTr="00A64930">
        <w:trPr>
          <w:trHeight w:val="300"/>
        </w:trPr>
        <w:tc>
          <w:tcPr>
            <w:tcW w:w="4176" w:type="dxa"/>
            <w:noWrap/>
            <w:hideMark/>
          </w:tcPr>
          <w:p w14:paraId="041E0185"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recGRVPrint.sql</w:t>
            </w:r>
            <w:proofErr w:type="spellEnd"/>
          </w:p>
        </w:tc>
        <w:tc>
          <w:tcPr>
            <w:tcW w:w="3994" w:type="dxa"/>
            <w:noWrap/>
            <w:hideMark/>
          </w:tcPr>
          <w:p w14:paraId="0E2CF75E" w14:textId="77777777" w:rsidR="00A64930" w:rsidRPr="00A64930" w:rsidRDefault="00A64930" w:rsidP="00A64930">
            <w:pPr>
              <w:rPr>
                <w:rFonts w:ascii="Calibri" w:eastAsia="Times New Roman" w:hAnsi="Calibri" w:cs="Calibri"/>
                <w:color w:val="000000"/>
                <w:lang w:eastAsia="en-ZA"/>
              </w:rPr>
            </w:pPr>
          </w:p>
        </w:tc>
      </w:tr>
      <w:tr w:rsidR="00A64930" w:rsidRPr="00A64930" w14:paraId="31384816" w14:textId="77777777" w:rsidTr="00A64930">
        <w:trPr>
          <w:trHeight w:val="300"/>
        </w:trPr>
        <w:tc>
          <w:tcPr>
            <w:tcW w:w="4176" w:type="dxa"/>
            <w:noWrap/>
            <w:hideMark/>
          </w:tcPr>
          <w:p w14:paraId="0CB5B8DD"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recLabellingDiscrepancyList.sql</w:t>
            </w:r>
            <w:proofErr w:type="spellEnd"/>
          </w:p>
        </w:tc>
        <w:tc>
          <w:tcPr>
            <w:tcW w:w="3994" w:type="dxa"/>
            <w:noWrap/>
            <w:hideMark/>
          </w:tcPr>
          <w:p w14:paraId="32819B87" w14:textId="77777777" w:rsidR="00A64930" w:rsidRPr="00A64930" w:rsidRDefault="00A64930" w:rsidP="00A64930">
            <w:pPr>
              <w:rPr>
                <w:rFonts w:ascii="Calibri" w:eastAsia="Times New Roman" w:hAnsi="Calibri" w:cs="Calibri"/>
                <w:color w:val="000000"/>
                <w:lang w:eastAsia="en-ZA"/>
              </w:rPr>
            </w:pPr>
          </w:p>
        </w:tc>
      </w:tr>
      <w:tr w:rsidR="00A64930" w:rsidRPr="00A64930" w14:paraId="7DFD83C9" w14:textId="77777777" w:rsidTr="00A64930">
        <w:trPr>
          <w:trHeight w:val="300"/>
        </w:trPr>
        <w:tc>
          <w:tcPr>
            <w:tcW w:w="4176" w:type="dxa"/>
            <w:noWrap/>
            <w:hideMark/>
          </w:tcPr>
          <w:p w14:paraId="573236C1"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recProcCheck.sql</w:t>
            </w:r>
            <w:proofErr w:type="spellEnd"/>
          </w:p>
        </w:tc>
        <w:tc>
          <w:tcPr>
            <w:tcW w:w="3994" w:type="dxa"/>
            <w:noWrap/>
            <w:hideMark/>
          </w:tcPr>
          <w:p w14:paraId="3C6B5DE2" w14:textId="77777777" w:rsidR="00A64930" w:rsidRPr="00A64930" w:rsidRDefault="00A64930" w:rsidP="00A64930">
            <w:pPr>
              <w:rPr>
                <w:rFonts w:ascii="Calibri" w:eastAsia="Times New Roman" w:hAnsi="Calibri" w:cs="Calibri"/>
                <w:color w:val="000000"/>
                <w:lang w:eastAsia="en-ZA"/>
              </w:rPr>
            </w:pPr>
          </w:p>
        </w:tc>
      </w:tr>
      <w:tr w:rsidR="00A64930" w:rsidRPr="00A64930" w14:paraId="68D3F003" w14:textId="77777777" w:rsidTr="00A64930">
        <w:trPr>
          <w:trHeight w:val="300"/>
        </w:trPr>
        <w:tc>
          <w:tcPr>
            <w:tcW w:w="4176" w:type="dxa"/>
            <w:noWrap/>
            <w:hideMark/>
          </w:tcPr>
          <w:p w14:paraId="01B5AA50"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recRptBinnerPerformance.sql</w:t>
            </w:r>
            <w:proofErr w:type="spellEnd"/>
          </w:p>
        </w:tc>
        <w:tc>
          <w:tcPr>
            <w:tcW w:w="3994" w:type="dxa"/>
            <w:noWrap/>
            <w:hideMark/>
          </w:tcPr>
          <w:p w14:paraId="31536EF1" w14:textId="77777777" w:rsidR="00A64930" w:rsidRPr="00A64930" w:rsidRDefault="00A64930" w:rsidP="00A64930">
            <w:pPr>
              <w:rPr>
                <w:rFonts w:ascii="Calibri" w:eastAsia="Times New Roman" w:hAnsi="Calibri" w:cs="Calibri"/>
                <w:color w:val="000000"/>
                <w:lang w:eastAsia="en-ZA"/>
              </w:rPr>
            </w:pPr>
          </w:p>
        </w:tc>
      </w:tr>
      <w:tr w:rsidR="00A64930" w:rsidRPr="00A64930" w14:paraId="7F12F215" w14:textId="77777777" w:rsidTr="00A64930">
        <w:trPr>
          <w:trHeight w:val="300"/>
        </w:trPr>
        <w:tc>
          <w:tcPr>
            <w:tcW w:w="4176" w:type="dxa"/>
            <w:noWrap/>
            <w:hideMark/>
          </w:tcPr>
          <w:p w14:paraId="25AB997A"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recRptLabellingTeamTimes.sql</w:t>
            </w:r>
            <w:proofErr w:type="spellEnd"/>
          </w:p>
        </w:tc>
        <w:tc>
          <w:tcPr>
            <w:tcW w:w="3994" w:type="dxa"/>
            <w:noWrap/>
            <w:hideMark/>
          </w:tcPr>
          <w:p w14:paraId="432BB6DC" w14:textId="77777777" w:rsidR="00A64930" w:rsidRPr="00A64930" w:rsidRDefault="00A64930" w:rsidP="00A64930">
            <w:pPr>
              <w:rPr>
                <w:rFonts w:ascii="Calibri" w:eastAsia="Times New Roman" w:hAnsi="Calibri" w:cs="Calibri"/>
                <w:color w:val="000000"/>
                <w:lang w:eastAsia="en-ZA"/>
              </w:rPr>
            </w:pPr>
          </w:p>
        </w:tc>
      </w:tr>
      <w:tr w:rsidR="00A64930" w:rsidRPr="00A64930" w14:paraId="44D5D891" w14:textId="77777777" w:rsidTr="00A64930">
        <w:trPr>
          <w:trHeight w:val="300"/>
        </w:trPr>
        <w:tc>
          <w:tcPr>
            <w:tcW w:w="4176" w:type="dxa"/>
            <w:noWrap/>
            <w:hideMark/>
          </w:tcPr>
          <w:p w14:paraId="14DDF981" w14:textId="77777777" w:rsidR="00A64930" w:rsidRPr="00A64930" w:rsidRDefault="00A64930" w:rsidP="00A64930">
            <w:pPr>
              <w:rPr>
                <w:rFonts w:ascii="Calibri" w:eastAsia="Times New Roman" w:hAnsi="Calibri" w:cs="Calibri"/>
                <w:color w:val="000000"/>
                <w:lang w:eastAsia="en-ZA"/>
              </w:rPr>
            </w:pPr>
            <w:proofErr w:type="spellStart"/>
            <w:r w:rsidRPr="00A64930">
              <w:rPr>
                <w:rFonts w:ascii="Calibri" w:eastAsia="Times New Roman" w:hAnsi="Calibri" w:cs="Calibri"/>
                <w:color w:val="000000"/>
                <w:lang w:eastAsia="en-ZA"/>
              </w:rPr>
              <w:t>recRptTransferSuspense.sql</w:t>
            </w:r>
            <w:proofErr w:type="spellEnd"/>
          </w:p>
        </w:tc>
        <w:tc>
          <w:tcPr>
            <w:tcW w:w="3994" w:type="dxa"/>
            <w:noWrap/>
            <w:hideMark/>
          </w:tcPr>
          <w:p w14:paraId="22B996AB" w14:textId="77777777" w:rsidR="00A64930" w:rsidRPr="00A64930" w:rsidRDefault="00A64930" w:rsidP="00A64930">
            <w:pPr>
              <w:rPr>
                <w:rFonts w:ascii="Calibri" w:eastAsia="Times New Roman" w:hAnsi="Calibri" w:cs="Calibri"/>
                <w:color w:val="000000"/>
                <w:lang w:eastAsia="en-ZA"/>
              </w:rPr>
            </w:pPr>
          </w:p>
        </w:tc>
      </w:tr>
      <w:tr w:rsidR="005F187B" w14:paraId="7B2E07C4" w14:textId="77777777" w:rsidTr="00A64930">
        <w:tc>
          <w:tcPr>
            <w:tcW w:w="4176" w:type="dxa"/>
            <w:vAlign w:val="center"/>
          </w:tcPr>
          <w:p w14:paraId="65CA033B" w14:textId="77777777" w:rsidR="005F187B" w:rsidRDefault="005F187B" w:rsidP="00877260"/>
        </w:tc>
        <w:tc>
          <w:tcPr>
            <w:tcW w:w="3994" w:type="dxa"/>
            <w:vAlign w:val="center"/>
          </w:tcPr>
          <w:p w14:paraId="11EAE3B3" w14:textId="77777777" w:rsidR="005F187B" w:rsidRDefault="005F187B" w:rsidP="00877260"/>
        </w:tc>
      </w:tr>
    </w:tbl>
    <w:p w14:paraId="6C126915" w14:textId="77777777" w:rsidR="00FD35CD" w:rsidRDefault="00FD35CD" w:rsidP="00FD35CD">
      <w:pPr>
        <w:pStyle w:val="Heading1"/>
        <w:ind w:left="720"/>
      </w:pPr>
      <w:bookmarkStart w:id="10" w:name="_Toc524948416"/>
      <w:bookmarkEnd w:id="6"/>
    </w:p>
    <w:p w14:paraId="60C57002" w14:textId="77777777" w:rsidR="00A64930" w:rsidRDefault="00A64930" w:rsidP="002C67C5">
      <w:pPr>
        <w:pStyle w:val="Heading1"/>
        <w:numPr>
          <w:ilvl w:val="1"/>
          <w:numId w:val="16"/>
        </w:numPr>
      </w:pPr>
      <w:r>
        <w:t>Triggers</w:t>
      </w:r>
    </w:p>
    <w:p w14:paraId="419BD222" w14:textId="77777777" w:rsidR="00A64930" w:rsidRDefault="00A64930" w:rsidP="00A64930">
      <w:pPr>
        <w:pStyle w:val="ListParagraph"/>
      </w:pPr>
    </w:p>
    <w:tbl>
      <w:tblPr>
        <w:tblStyle w:val="TableGrid"/>
        <w:tblW w:w="0" w:type="auto"/>
        <w:tblInd w:w="720" w:type="dxa"/>
        <w:tblLook w:val="04A0" w:firstRow="1" w:lastRow="0" w:firstColumn="1" w:lastColumn="0" w:noHBand="0" w:noVBand="1"/>
      </w:tblPr>
      <w:tblGrid>
        <w:gridCol w:w="4148"/>
        <w:gridCol w:w="4148"/>
      </w:tblGrid>
      <w:tr w:rsidR="00A64930" w14:paraId="6C17BBAE" w14:textId="77777777" w:rsidTr="00A64930">
        <w:tc>
          <w:tcPr>
            <w:tcW w:w="4148" w:type="dxa"/>
            <w:vAlign w:val="center"/>
          </w:tcPr>
          <w:p w14:paraId="382686CC" w14:textId="61703A31" w:rsidR="00A64930" w:rsidRDefault="00A64930" w:rsidP="00A64930">
            <w:pPr>
              <w:pStyle w:val="ListParagraph"/>
              <w:ind w:left="0"/>
              <w:jc w:val="center"/>
            </w:pPr>
            <w:r w:rsidRPr="004D4FE6">
              <w:rPr>
                <w:b/>
              </w:rPr>
              <w:t>Name</w:t>
            </w:r>
          </w:p>
        </w:tc>
        <w:tc>
          <w:tcPr>
            <w:tcW w:w="4148" w:type="dxa"/>
            <w:vAlign w:val="center"/>
          </w:tcPr>
          <w:p w14:paraId="390E13BB" w14:textId="29755BFE" w:rsidR="00A64930" w:rsidRDefault="00A64930" w:rsidP="00A64930">
            <w:pPr>
              <w:pStyle w:val="ListParagraph"/>
              <w:ind w:left="0"/>
              <w:jc w:val="center"/>
            </w:pPr>
            <w:r w:rsidRPr="004D4FE6">
              <w:rPr>
                <w:b/>
              </w:rPr>
              <w:t>Description</w:t>
            </w:r>
          </w:p>
        </w:tc>
      </w:tr>
      <w:tr w:rsidR="00A64930" w14:paraId="3B082F33" w14:textId="77777777" w:rsidTr="00A64930">
        <w:tc>
          <w:tcPr>
            <w:tcW w:w="4148" w:type="dxa"/>
          </w:tcPr>
          <w:p w14:paraId="6587FEBD" w14:textId="39A05243" w:rsidR="00A64930" w:rsidRDefault="00A64930" w:rsidP="00A64930">
            <w:proofErr w:type="spellStart"/>
            <w:r>
              <w:t>recJobLineAutoCalcPriorityOnIU.sql</w:t>
            </w:r>
            <w:proofErr w:type="spellEnd"/>
          </w:p>
        </w:tc>
        <w:tc>
          <w:tcPr>
            <w:tcW w:w="4148" w:type="dxa"/>
          </w:tcPr>
          <w:p w14:paraId="2D4494AB" w14:textId="56D51798" w:rsidR="00A64930" w:rsidRDefault="00A64930" w:rsidP="00A64930">
            <w:pPr>
              <w:pStyle w:val="ListParagraph"/>
              <w:ind w:left="0"/>
            </w:pPr>
            <w:r>
              <w:t>Assists in pre-calculating priority for jobbing &amp; labelling</w:t>
            </w:r>
          </w:p>
        </w:tc>
      </w:tr>
    </w:tbl>
    <w:p w14:paraId="1D22EEE8" w14:textId="7FCFC4FF" w:rsidR="00FD35CD" w:rsidRPr="00A64930" w:rsidRDefault="00FD35CD" w:rsidP="00A64930">
      <w:pPr>
        <w:pStyle w:val="Heading1"/>
        <w:numPr>
          <w:ilvl w:val="0"/>
          <w:numId w:val="16"/>
        </w:numPr>
      </w:pPr>
      <w:r>
        <w:br w:type="page"/>
      </w:r>
    </w:p>
    <w:p w14:paraId="67C9E708" w14:textId="195641B1" w:rsidR="00F5622E" w:rsidRDefault="00DB130A" w:rsidP="00A64930">
      <w:pPr>
        <w:pStyle w:val="Heading1"/>
        <w:numPr>
          <w:ilvl w:val="0"/>
          <w:numId w:val="16"/>
        </w:numPr>
      </w:pPr>
      <w:r>
        <w:lastRenderedPageBreak/>
        <w:t>Acceptance</w:t>
      </w:r>
      <w:bookmarkEnd w:id="10"/>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D6288" w14:textId="77777777" w:rsidR="00FC3F3A" w:rsidRDefault="00FC3F3A" w:rsidP="005E292E">
      <w:pPr>
        <w:spacing w:after="0" w:line="240" w:lineRule="auto"/>
      </w:pPr>
      <w:r>
        <w:separator/>
      </w:r>
    </w:p>
  </w:endnote>
  <w:endnote w:type="continuationSeparator" w:id="0">
    <w:p w14:paraId="3C02FC98" w14:textId="77777777" w:rsidR="00FC3F3A" w:rsidRDefault="00FC3F3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882C" w14:textId="77777777" w:rsidR="00FC3F3A" w:rsidRDefault="00FC3F3A" w:rsidP="005E292E">
      <w:pPr>
        <w:spacing w:after="0" w:line="240" w:lineRule="auto"/>
      </w:pPr>
      <w:r>
        <w:separator/>
      </w:r>
    </w:p>
  </w:footnote>
  <w:footnote w:type="continuationSeparator" w:id="0">
    <w:p w14:paraId="50DBD250" w14:textId="77777777" w:rsidR="00FC3F3A" w:rsidRDefault="00FC3F3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41DC9"/>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525A9"/>
    <w:multiLevelType w:val="hybridMultilevel"/>
    <w:tmpl w:val="1BE43AC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20"/>
  </w:num>
  <w:num w:numId="4">
    <w:abstractNumId w:val="16"/>
  </w:num>
  <w:num w:numId="5">
    <w:abstractNumId w:val="2"/>
  </w:num>
  <w:num w:numId="6">
    <w:abstractNumId w:val="27"/>
  </w:num>
  <w:num w:numId="7">
    <w:abstractNumId w:val="28"/>
  </w:num>
  <w:num w:numId="8">
    <w:abstractNumId w:val="6"/>
  </w:num>
  <w:num w:numId="9">
    <w:abstractNumId w:val="11"/>
  </w:num>
  <w:num w:numId="10">
    <w:abstractNumId w:val="19"/>
  </w:num>
  <w:num w:numId="11">
    <w:abstractNumId w:val="5"/>
  </w:num>
  <w:num w:numId="12">
    <w:abstractNumId w:val="24"/>
  </w:num>
  <w:num w:numId="13">
    <w:abstractNumId w:val="30"/>
  </w:num>
  <w:num w:numId="14">
    <w:abstractNumId w:val="12"/>
  </w:num>
  <w:num w:numId="15">
    <w:abstractNumId w:val="7"/>
  </w:num>
  <w:num w:numId="16">
    <w:abstractNumId w:val="15"/>
  </w:num>
  <w:num w:numId="17">
    <w:abstractNumId w:val="0"/>
  </w:num>
  <w:num w:numId="18">
    <w:abstractNumId w:val="9"/>
  </w:num>
  <w:num w:numId="19">
    <w:abstractNumId w:val="13"/>
  </w:num>
  <w:num w:numId="20">
    <w:abstractNumId w:val="10"/>
  </w:num>
  <w:num w:numId="21">
    <w:abstractNumId w:val="29"/>
  </w:num>
  <w:num w:numId="22">
    <w:abstractNumId w:val="17"/>
  </w:num>
  <w:num w:numId="23">
    <w:abstractNumId w:val="4"/>
  </w:num>
  <w:num w:numId="24">
    <w:abstractNumId w:val="21"/>
  </w:num>
  <w:num w:numId="25">
    <w:abstractNumId w:val="26"/>
  </w:num>
  <w:num w:numId="26">
    <w:abstractNumId w:val="8"/>
  </w:num>
  <w:num w:numId="27">
    <w:abstractNumId w:val="25"/>
  </w:num>
  <w:num w:numId="28">
    <w:abstractNumId w:val="22"/>
  </w:num>
  <w:num w:numId="29">
    <w:abstractNumId w:val="18"/>
  </w:num>
  <w:num w:numId="30">
    <w:abstractNumId w:val="23"/>
  </w:num>
  <w:num w:numId="31">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442F"/>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403"/>
    <w:rsid w:val="00204FD1"/>
    <w:rsid w:val="002056E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0C1"/>
    <w:rsid w:val="0031272F"/>
    <w:rsid w:val="00312E7C"/>
    <w:rsid w:val="00315402"/>
    <w:rsid w:val="003211C2"/>
    <w:rsid w:val="003339A8"/>
    <w:rsid w:val="00337D4B"/>
    <w:rsid w:val="00342589"/>
    <w:rsid w:val="003456B2"/>
    <w:rsid w:val="00347743"/>
    <w:rsid w:val="00354100"/>
    <w:rsid w:val="00356A78"/>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4A8E"/>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915"/>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3EDA"/>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87B"/>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A6869"/>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5814"/>
    <w:rsid w:val="007227DD"/>
    <w:rsid w:val="00723B14"/>
    <w:rsid w:val="00726233"/>
    <w:rsid w:val="00730FA1"/>
    <w:rsid w:val="007321D1"/>
    <w:rsid w:val="007335EA"/>
    <w:rsid w:val="00734E96"/>
    <w:rsid w:val="00735BF3"/>
    <w:rsid w:val="00736B54"/>
    <w:rsid w:val="007378F2"/>
    <w:rsid w:val="00740587"/>
    <w:rsid w:val="00742CC0"/>
    <w:rsid w:val="00742CC4"/>
    <w:rsid w:val="00742E9D"/>
    <w:rsid w:val="00743A36"/>
    <w:rsid w:val="007455DC"/>
    <w:rsid w:val="00746136"/>
    <w:rsid w:val="00751D28"/>
    <w:rsid w:val="00754BF0"/>
    <w:rsid w:val="00756BA6"/>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E6EBC"/>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4930"/>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1722"/>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3376"/>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55CA"/>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030A"/>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4EB0"/>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3F3A"/>
    <w:rsid w:val="00FC53EE"/>
    <w:rsid w:val="00FC64DF"/>
    <w:rsid w:val="00FD35CD"/>
    <w:rsid w:val="00FD6A30"/>
    <w:rsid w:val="00FD6D78"/>
    <w:rsid w:val="00FE1523"/>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24475716">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188329081">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084914999">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i_jt8h1oek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BE261-6646-4898-B474-13D3744C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7</cp:revision>
  <cp:lastPrinted>2018-03-22T15:58:00Z</cp:lastPrinted>
  <dcterms:created xsi:type="dcterms:W3CDTF">2018-11-15T07:29:00Z</dcterms:created>
  <dcterms:modified xsi:type="dcterms:W3CDTF">2019-03-14T10:51:00Z</dcterms:modified>
</cp:coreProperties>
</file>