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60B76C64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081B2202" wp14:editId="13F46598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AFBE81" w14:textId="77777777" w:rsidR="006E3EF6" w:rsidRDefault="00AF2AE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9F37BE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B2A5BA7" w14:textId="713A9CDD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02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1B2202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1BAFBE81" w14:textId="77777777" w:rsidR="006E3EF6" w:rsidRDefault="00AF2AE8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49F37BE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B2A5BA7" w14:textId="713A9CDD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02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25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21EA3AE8" wp14:editId="31E2A315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C634A2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E973D6F" wp14:editId="6B1CBF3C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9D426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C38E738" w14:textId="3131D590" w:rsidR="006E3EF6" w:rsidRDefault="00C865BE" w:rsidP="001A145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Scenario 1: The business requirement is to data capture supplier expectations as presented by the supplier and to effect returns of goods not binned.</w:t>
                                </w:r>
                              </w:p>
                              <w:p w14:paraId="663C0187" w14:textId="5FDAAFE8" w:rsidR="00C865BE" w:rsidRDefault="00C865BE" w:rsidP="001A145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Scenario 2: Manage stock returns to supplier.</w:t>
                                </w:r>
                              </w:p>
                              <w:p w14:paraId="639B32C4" w14:textId="77777777" w:rsidR="00C865BE" w:rsidRDefault="00C865BE" w:rsidP="001A145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</w:p>
                              <w:p w14:paraId="77CFE034" w14:textId="065681CA" w:rsidR="00C865BE" w:rsidRDefault="00C865BE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In both scenarios the Supplier expectations and  Engineparts requirements are sustained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73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1109D426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C38E738" w14:textId="3131D590" w:rsidR="006E3EF6" w:rsidRDefault="00C865BE" w:rsidP="001A145C">
                          <w:pPr>
                            <w:pStyle w:val="NoSpacing"/>
                            <w:jc w:val="right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Scenario 1: The business requirement is to data capture supplier expectations as presented by the supplier and to effect returns of goods not binned.</w:t>
                          </w:r>
                        </w:p>
                        <w:p w14:paraId="663C0187" w14:textId="5FDAAFE8" w:rsidR="00C865BE" w:rsidRDefault="00C865BE" w:rsidP="001A145C">
                          <w:pPr>
                            <w:pStyle w:val="NoSpacing"/>
                            <w:jc w:val="right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Scenario 2: Manage stock returns to supplier.</w:t>
                          </w:r>
                        </w:p>
                        <w:p w14:paraId="639B32C4" w14:textId="77777777" w:rsidR="00C865BE" w:rsidRDefault="00C865BE" w:rsidP="001A145C">
                          <w:pPr>
                            <w:pStyle w:val="NoSpacing"/>
                            <w:jc w:val="right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</w:p>
                        <w:p w14:paraId="77CFE034" w14:textId="065681CA" w:rsidR="00C865BE" w:rsidRDefault="00C865BE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In both scenarios the Supplier expectations and  Engineparts requirements are sustained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48E160ED" wp14:editId="09502EF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9923C" w14:textId="514BE906" w:rsidR="006E3EF6" w:rsidRDefault="00C865B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Return to Vendor</w:t>
                                </w:r>
                              </w:p>
                              <w:p w14:paraId="68377401" w14:textId="2C630117" w:rsidR="00C865BE" w:rsidRDefault="00C865B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Control Supplier expectations vs Actual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8E160ED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0159923C" w14:textId="514BE906" w:rsidR="006E3EF6" w:rsidRDefault="00C865B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Return to Vendor</w:t>
                          </w:r>
                        </w:p>
                        <w:p w14:paraId="68377401" w14:textId="2C630117" w:rsidR="00C865BE" w:rsidRDefault="00C865B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Control Supplier expectations vs Actual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9DE11CF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6C5DA945" w14:textId="0571CB99" w:rsidR="005060B6" w:rsidRDefault="0017568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5060B6">
        <w:rPr>
          <w:noProof/>
        </w:rPr>
        <w:t>1.</w:t>
      </w:r>
      <w:r w:rsidR="005060B6">
        <w:rPr>
          <w:rFonts w:eastAsiaTheme="minorEastAsia"/>
          <w:noProof/>
          <w:lang w:eastAsia="en-ZA"/>
        </w:rPr>
        <w:tab/>
      </w:r>
      <w:r w:rsidR="005060B6">
        <w:rPr>
          <w:noProof/>
        </w:rPr>
        <w:t>Document approval and distribution list</w:t>
      </w:r>
      <w:r w:rsidR="005060B6">
        <w:rPr>
          <w:noProof/>
        </w:rPr>
        <w:tab/>
      </w:r>
      <w:r w:rsidR="005060B6">
        <w:rPr>
          <w:noProof/>
        </w:rPr>
        <w:fldChar w:fldCharType="begin"/>
      </w:r>
      <w:r w:rsidR="005060B6">
        <w:rPr>
          <w:noProof/>
        </w:rPr>
        <w:instrText xml:space="preserve"> PAGEREF _Toc3456798 \h </w:instrText>
      </w:r>
      <w:r w:rsidR="005060B6">
        <w:rPr>
          <w:noProof/>
        </w:rPr>
      </w:r>
      <w:r w:rsidR="005060B6">
        <w:rPr>
          <w:noProof/>
        </w:rPr>
        <w:fldChar w:fldCharType="separate"/>
      </w:r>
      <w:r w:rsidR="005060B6">
        <w:rPr>
          <w:noProof/>
        </w:rPr>
        <w:t>2</w:t>
      </w:r>
      <w:r w:rsidR="005060B6">
        <w:rPr>
          <w:noProof/>
        </w:rPr>
        <w:fldChar w:fldCharType="end"/>
      </w:r>
    </w:p>
    <w:p w14:paraId="6033BFF0" w14:textId="370960B5" w:rsidR="005060B6" w:rsidRDefault="005060B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574E67" w14:textId="15B6D2CE" w:rsidR="005060B6" w:rsidRDefault="005060B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6794B0" w14:textId="4A6ADE9E" w:rsidR="005060B6" w:rsidRDefault="005060B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C02AE3" w14:textId="3648D054" w:rsidR="005060B6" w:rsidRDefault="005060B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39FF2F" w14:textId="7F508359" w:rsidR="005060B6" w:rsidRDefault="005060B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F9B2C" w14:textId="05771D4A" w:rsidR="005060B6" w:rsidRDefault="005060B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6.1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_Toc3456804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F0AC71" w14:textId="236B8A6A" w:rsidR="005060B6" w:rsidRDefault="005060B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6.2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_Toc3456805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145380" w14:textId="013A6057" w:rsidR="005060B6" w:rsidRDefault="005060B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_Toc3456806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E4E1C1" w14:textId="28AD2E6E" w:rsidR="00F77ACA" w:rsidRDefault="00175689">
      <w:r>
        <w:fldChar w:fldCharType="end"/>
      </w:r>
    </w:p>
    <w:p w14:paraId="54B577C9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C14F95" w14:textId="77777777" w:rsidR="00C35D96" w:rsidRDefault="00C35D96" w:rsidP="003C0614">
      <w:pPr>
        <w:pStyle w:val="Heading1"/>
        <w:numPr>
          <w:ilvl w:val="0"/>
          <w:numId w:val="16"/>
        </w:numPr>
      </w:pPr>
      <w:bookmarkStart w:id="0" w:name="_Toc3456798"/>
      <w:r>
        <w:lastRenderedPageBreak/>
        <w:t>Document approval and distribution list</w:t>
      </w:r>
      <w:bookmarkEnd w:id="0"/>
    </w:p>
    <w:p w14:paraId="2316E0BF" w14:textId="77777777" w:rsidR="00C35D96" w:rsidRDefault="00C35D96" w:rsidP="00C35D96"/>
    <w:p w14:paraId="3FB8BC27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F72400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2D1709E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7E46FD5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1A33B0F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2E1D91E1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4260CF00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D0E22FC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5FC8D115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20859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ED89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38B3D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641A7A2" w14:textId="77777777" w:rsidR="00C35D96" w:rsidRDefault="00C35D96">
            <w:pPr>
              <w:pStyle w:val="Bodytext1"/>
            </w:pPr>
          </w:p>
        </w:tc>
      </w:tr>
      <w:tr w:rsidR="00C35D96" w14:paraId="3FE75522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A0DA9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EFFA" w14:textId="77777777" w:rsidR="00C35D96" w:rsidRDefault="00C35D96">
            <w:pPr>
              <w:pStyle w:val="Bodytext1"/>
              <w:jc w:val="left"/>
            </w:pPr>
            <w:bookmarkStart w:id="1" w:name="_GoBack"/>
            <w:bookmarkEnd w:id="1"/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50CA8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11363C5" w14:textId="77777777" w:rsidR="00C35D96" w:rsidRDefault="00C35D96">
            <w:pPr>
              <w:pStyle w:val="Bodytext1"/>
            </w:pPr>
          </w:p>
        </w:tc>
      </w:tr>
      <w:tr w:rsidR="00C35D96" w14:paraId="3DE3C1BF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8B9C7A7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2D2463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D9D830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0476468" w14:textId="77777777" w:rsidR="00C35D96" w:rsidRDefault="00C35D96">
            <w:pPr>
              <w:pStyle w:val="Bodytext1"/>
            </w:pPr>
          </w:p>
        </w:tc>
      </w:tr>
    </w:tbl>
    <w:p w14:paraId="658C9FAA" w14:textId="77777777" w:rsidR="00C35D96" w:rsidRDefault="00C35D96" w:rsidP="00C35D96">
      <w:pPr>
        <w:pStyle w:val="Bodytext1"/>
      </w:pPr>
    </w:p>
    <w:p w14:paraId="5ED63072" w14:textId="77777777" w:rsidR="00C35D96" w:rsidRDefault="00C35D96" w:rsidP="00C35D96">
      <w:pPr>
        <w:pStyle w:val="Bodytext1"/>
      </w:pPr>
    </w:p>
    <w:p w14:paraId="5A0D70A3" w14:textId="77777777" w:rsidR="00C35D96" w:rsidRDefault="00C35D96" w:rsidP="00C35D96">
      <w:pPr>
        <w:pStyle w:val="Bodytext1"/>
      </w:pPr>
    </w:p>
    <w:p w14:paraId="50A6F448" w14:textId="77777777" w:rsidR="00C35D96" w:rsidRPr="00C35D96" w:rsidRDefault="00C35D96" w:rsidP="00C35D96"/>
    <w:p w14:paraId="2FF64A8B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968EE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2" w:name="_Toc3456799"/>
      <w:r>
        <w:lastRenderedPageBreak/>
        <w:t>Introduction</w:t>
      </w:r>
      <w:bookmarkEnd w:id="2"/>
    </w:p>
    <w:p w14:paraId="28F5675F" w14:textId="6E13BA30" w:rsidR="006E3EF6" w:rsidRDefault="006E3EF6" w:rsidP="00D56555">
      <w:pPr>
        <w:ind w:left="720"/>
        <w:jc w:val="both"/>
      </w:pPr>
    </w:p>
    <w:p w14:paraId="05DAB8B4" w14:textId="5FDA755C" w:rsidR="00C865BE" w:rsidRDefault="00C865BE" w:rsidP="00D56555">
      <w:pPr>
        <w:ind w:left="720"/>
        <w:jc w:val="both"/>
      </w:pPr>
      <w:r>
        <w:t xml:space="preserve">Goods </w:t>
      </w:r>
      <w:r w:rsidRPr="00C865BE">
        <w:rPr>
          <w:b/>
          <w:i/>
        </w:rPr>
        <w:t>Returns to Vendor</w:t>
      </w:r>
      <w:r>
        <w:t xml:space="preserve"> (RTV) may occur when:</w:t>
      </w:r>
    </w:p>
    <w:p w14:paraId="5AD53BF0" w14:textId="2F8BAECC" w:rsidR="00C865BE" w:rsidRDefault="00C865BE" w:rsidP="00C865BE">
      <w:pPr>
        <w:pStyle w:val="ListParagraph"/>
        <w:numPr>
          <w:ilvl w:val="0"/>
          <w:numId w:val="34"/>
        </w:numPr>
        <w:jc w:val="both"/>
      </w:pPr>
      <w:r>
        <w:t xml:space="preserve">Goods received is found to be non-conformant and is to be returned without taking it into stock for financial </w:t>
      </w:r>
      <w:r w:rsidR="002A04BB">
        <w:t>porpoises</w:t>
      </w:r>
      <w:r>
        <w:t xml:space="preserve">. However, </w:t>
      </w:r>
      <w:r w:rsidR="002A04BB">
        <w:t>the supplier remittance needs to reflect the status of having received the consignment with rejection declaration as per the formal checking process.</w:t>
      </w:r>
    </w:p>
    <w:p w14:paraId="7D120D6F" w14:textId="77777777" w:rsidR="002A04BB" w:rsidRDefault="002A04BB" w:rsidP="002A04BB">
      <w:pPr>
        <w:pStyle w:val="ListParagraph"/>
        <w:ind w:left="1440"/>
        <w:jc w:val="both"/>
      </w:pPr>
    </w:p>
    <w:p w14:paraId="4FA45312" w14:textId="599BD8EC" w:rsidR="002A04BB" w:rsidRDefault="002A04BB" w:rsidP="00C865BE">
      <w:pPr>
        <w:pStyle w:val="ListParagraph"/>
        <w:numPr>
          <w:ilvl w:val="0"/>
          <w:numId w:val="34"/>
        </w:numPr>
        <w:jc w:val="both"/>
      </w:pPr>
      <w:r>
        <w:t>Goods, after taken into stock (binned), needs to be returned to the supplier for a (debit) credit (in supplier accounting). The quantity on hand needs to be reduced.</w:t>
      </w:r>
    </w:p>
    <w:p w14:paraId="698B8279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3" w:name="_Toc3456800"/>
      <w:r>
        <w:t>Audience</w:t>
      </w:r>
      <w:bookmarkEnd w:id="3"/>
    </w:p>
    <w:p w14:paraId="2819496E" w14:textId="14AF6EC9" w:rsidR="00F5684C" w:rsidRDefault="002A04BB" w:rsidP="00413E33">
      <w:pPr>
        <w:pStyle w:val="ListParagraph"/>
        <w:numPr>
          <w:ilvl w:val="0"/>
          <w:numId w:val="33"/>
        </w:numPr>
      </w:pPr>
      <w:r>
        <w:t>Creditors</w:t>
      </w:r>
    </w:p>
    <w:p w14:paraId="66FD2BE7" w14:textId="6F9B4BC2" w:rsidR="002A04BB" w:rsidRDefault="002A04BB" w:rsidP="00413E33">
      <w:pPr>
        <w:pStyle w:val="ListParagraph"/>
        <w:numPr>
          <w:ilvl w:val="0"/>
          <w:numId w:val="33"/>
        </w:numPr>
      </w:pPr>
      <w:r>
        <w:t>Warehouse receiving</w:t>
      </w:r>
    </w:p>
    <w:p w14:paraId="33B65068" w14:textId="7C82FCBD" w:rsidR="002A04BB" w:rsidRDefault="002A04BB" w:rsidP="00413E33">
      <w:pPr>
        <w:pStyle w:val="ListParagraph"/>
        <w:numPr>
          <w:ilvl w:val="0"/>
          <w:numId w:val="33"/>
        </w:numPr>
      </w:pPr>
      <w:r>
        <w:t>Warehouse administration</w:t>
      </w:r>
    </w:p>
    <w:p w14:paraId="4826DCD7" w14:textId="62678FA1" w:rsidR="002A04BB" w:rsidRDefault="002A04BB" w:rsidP="00413E33">
      <w:pPr>
        <w:pStyle w:val="ListParagraph"/>
        <w:numPr>
          <w:ilvl w:val="0"/>
          <w:numId w:val="33"/>
        </w:numPr>
      </w:pPr>
      <w:r>
        <w:t>Despatching</w:t>
      </w:r>
    </w:p>
    <w:p w14:paraId="2B572495" w14:textId="77777777" w:rsidR="002A04BB" w:rsidRDefault="002A04BB" w:rsidP="002A04BB">
      <w:pPr>
        <w:pStyle w:val="ListParagraph"/>
        <w:ind w:left="1440"/>
      </w:pPr>
    </w:p>
    <w:p w14:paraId="627D0806" w14:textId="50414FFE" w:rsidR="002A04BB" w:rsidRDefault="006D2FE3" w:rsidP="003C0614">
      <w:pPr>
        <w:pStyle w:val="Heading1"/>
        <w:numPr>
          <w:ilvl w:val="0"/>
          <w:numId w:val="16"/>
        </w:numPr>
      </w:pPr>
      <w:bookmarkStart w:id="4" w:name="_Toc3456801"/>
      <w:r>
        <w:t>Objectives</w:t>
      </w:r>
      <w:bookmarkEnd w:id="4"/>
    </w:p>
    <w:p w14:paraId="6CEBD7CA" w14:textId="2B848ED5" w:rsidR="00B779A2" w:rsidRDefault="002A04BB" w:rsidP="008847F9">
      <w:pPr>
        <w:pStyle w:val="ListParagraph"/>
        <w:numPr>
          <w:ilvl w:val="0"/>
          <w:numId w:val="35"/>
        </w:numPr>
        <w:ind w:left="720"/>
        <w:jc w:val="both"/>
      </w:pPr>
      <w:r>
        <w:t>The objective is to acknowledge all related forms of expectation between Engineparts and its suppliers in a manner that all contributing events are recorded and reflected on the remittance advice to the supplier.</w:t>
      </w:r>
    </w:p>
    <w:p w14:paraId="17685454" w14:textId="77777777" w:rsidR="00B779A2" w:rsidRDefault="00B779A2" w:rsidP="00B779A2">
      <w:pPr>
        <w:pStyle w:val="ListParagraph"/>
        <w:jc w:val="both"/>
      </w:pPr>
    </w:p>
    <w:p w14:paraId="479675E7" w14:textId="3E36CC90" w:rsidR="00B779A2" w:rsidRDefault="002A04BB" w:rsidP="00B779A2">
      <w:pPr>
        <w:pStyle w:val="ListParagraph"/>
        <w:numPr>
          <w:ilvl w:val="0"/>
          <w:numId w:val="35"/>
        </w:numPr>
        <w:ind w:left="720"/>
        <w:jc w:val="both"/>
      </w:pPr>
      <w:r>
        <w:t>Accounting for the creditors would reflect the vendor financial expectation as well as the Engineparts reason for non-acceptance of some or all received goods.</w:t>
      </w:r>
    </w:p>
    <w:p w14:paraId="57528E0C" w14:textId="77777777" w:rsidR="00B779A2" w:rsidRDefault="00B779A2" w:rsidP="00B779A2">
      <w:pPr>
        <w:pStyle w:val="ListParagraph"/>
        <w:jc w:val="both"/>
      </w:pPr>
    </w:p>
    <w:p w14:paraId="5CD67CF4" w14:textId="0E0C6B5A" w:rsidR="00B779A2" w:rsidRDefault="002A04BB" w:rsidP="000F41FF">
      <w:pPr>
        <w:pStyle w:val="ListParagraph"/>
        <w:numPr>
          <w:ilvl w:val="0"/>
          <w:numId w:val="35"/>
        </w:numPr>
        <w:ind w:left="720"/>
        <w:jc w:val="both"/>
      </w:pPr>
      <w:r>
        <w:t xml:space="preserve">The non-conforming goods are financially reflected but reversed </w:t>
      </w:r>
      <w:r w:rsidR="00B779A2">
        <w:t>based on the non-conformance financial entry.</w:t>
      </w:r>
    </w:p>
    <w:p w14:paraId="0D7F1039" w14:textId="77777777" w:rsidR="00B779A2" w:rsidRDefault="00B779A2" w:rsidP="00B779A2">
      <w:pPr>
        <w:pStyle w:val="ListParagraph"/>
        <w:jc w:val="both"/>
      </w:pPr>
    </w:p>
    <w:p w14:paraId="62F3C23E" w14:textId="77777777" w:rsidR="00B779A2" w:rsidRDefault="00B779A2" w:rsidP="000F41FF">
      <w:pPr>
        <w:pStyle w:val="ListParagraph"/>
        <w:numPr>
          <w:ilvl w:val="0"/>
          <w:numId w:val="35"/>
        </w:numPr>
        <w:ind w:left="720"/>
        <w:jc w:val="both"/>
      </w:pPr>
      <w:r>
        <w:t xml:space="preserve">Goods received and taken into stock updates the stock control sub-ledger. However, there may be reasons for binned goods to be returned. </w:t>
      </w:r>
    </w:p>
    <w:p w14:paraId="3C6FB956" w14:textId="77777777" w:rsidR="00B779A2" w:rsidRDefault="00B779A2" w:rsidP="00B779A2">
      <w:pPr>
        <w:pStyle w:val="ListParagraph"/>
      </w:pPr>
    </w:p>
    <w:p w14:paraId="4E945142" w14:textId="30EAA00C" w:rsidR="00B779A2" w:rsidRDefault="00B779A2" w:rsidP="008F0DD0">
      <w:pPr>
        <w:pStyle w:val="ListParagraph"/>
        <w:numPr>
          <w:ilvl w:val="0"/>
          <w:numId w:val="35"/>
        </w:numPr>
        <w:ind w:left="720"/>
        <w:jc w:val="both"/>
      </w:pPr>
      <w:r>
        <w:t xml:space="preserve">The process requires that warehouse staff </w:t>
      </w:r>
      <w:r w:rsidRPr="00B779A2">
        <w:rPr>
          <w:b/>
          <w:i/>
        </w:rPr>
        <w:t>quarantine</w:t>
      </w:r>
      <w:r>
        <w:t xml:space="preserve"> goods to be returned to vendor by using a bin to bin transfer transaction. Effectively, the bin location should be near the RTV admin staff and also the destination bin flagged as </w:t>
      </w:r>
      <w:r w:rsidRPr="00B779A2">
        <w:rPr>
          <w:b/>
          <w:i/>
        </w:rPr>
        <w:t>non-sellable</w:t>
      </w:r>
      <w:r>
        <w:t>. Stock with this bin profile is not on the availability to sell list.</w:t>
      </w:r>
    </w:p>
    <w:p w14:paraId="2AFE40EC" w14:textId="77777777" w:rsidR="00B779A2" w:rsidRDefault="00B779A2" w:rsidP="00B779A2">
      <w:pPr>
        <w:pStyle w:val="ListParagraph"/>
      </w:pPr>
    </w:p>
    <w:p w14:paraId="5D89C3DB" w14:textId="790B68FF" w:rsidR="00B779A2" w:rsidRDefault="00B779A2" w:rsidP="008F0DD0">
      <w:pPr>
        <w:pStyle w:val="ListParagraph"/>
        <w:numPr>
          <w:ilvl w:val="0"/>
          <w:numId w:val="35"/>
        </w:numPr>
        <w:ind w:left="720"/>
        <w:jc w:val="both"/>
      </w:pPr>
      <w:r>
        <w:t>The Bin to bin transferred goods are then inspected and the required RTV detail captured reflecting supplier original source documentation.</w:t>
      </w:r>
    </w:p>
    <w:p w14:paraId="14DE2164" w14:textId="77777777" w:rsidR="00893114" w:rsidRDefault="00893114" w:rsidP="00893114">
      <w:pPr>
        <w:pStyle w:val="ListParagraph"/>
      </w:pPr>
    </w:p>
    <w:p w14:paraId="1832CEB9" w14:textId="77777777" w:rsidR="00893114" w:rsidRDefault="00893114" w:rsidP="008F0DD0">
      <w:pPr>
        <w:pStyle w:val="ListParagraph"/>
        <w:numPr>
          <w:ilvl w:val="0"/>
          <w:numId w:val="35"/>
        </w:numPr>
        <w:ind w:left="720"/>
        <w:jc w:val="both"/>
      </w:pPr>
      <w:r>
        <w:t xml:space="preserve">The financial systems reflect the Engineparts expectation on the Supplier and will reflect same on the remittance advice. </w:t>
      </w:r>
    </w:p>
    <w:p w14:paraId="70315E2E" w14:textId="77777777" w:rsidR="00893114" w:rsidRDefault="00893114" w:rsidP="00893114">
      <w:pPr>
        <w:pStyle w:val="ListParagraph"/>
      </w:pPr>
    </w:p>
    <w:p w14:paraId="45C7F699" w14:textId="23A149B5" w:rsidR="00893114" w:rsidRDefault="00893114" w:rsidP="008F0DD0">
      <w:pPr>
        <w:pStyle w:val="ListParagraph"/>
        <w:numPr>
          <w:ilvl w:val="0"/>
          <w:numId w:val="35"/>
        </w:numPr>
        <w:ind w:left="720"/>
        <w:jc w:val="both"/>
      </w:pPr>
      <w:r>
        <w:t>Stock on hand position is reduced by the quantity returned to the vendor.</w:t>
      </w:r>
    </w:p>
    <w:p w14:paraId="374EF393" w14:textId="77777777" w:rsidR="00B779A2" w:rsidRDefault="00B779A2" w:rsidP="00B779A2">
      <w:pPr>
        <w:pStyle w:val="ListParagraph"/>
      </w:pPr>
    </w:p>
    <w:p w14:paraId="40E11BF8" w14:textId="2B9D11B2" w:rsidR="000868A2" w:rsidRDefault="00D64508" w:rsidP="00450696">
      <w:pPr>
        <w:pStyle w:val="Heading1"/>
        <w:numPr>
          <w:ilvl w:val="0"/>
          <w:numId w:val="16"/>
        </w:numPr>
      </w:pPr>
      <w:bookmarkStart w:id="5" w:name="_Toc345680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18A1A5" wp14:editId="43BC9EF9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731510" cy="80841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8A2">
        <w:t>Database entities and relationships</w:t>
      </w:r>
      <w:bookmarkEnd w:id="5"/>
    </w:p>
    <w:p w14:paraId="552705B0" w14:textId="48B0398F" w:rsidR="003C0614" w:rsidRPr="003C0614" w:rsidRDefault="003C0614" w:rsidP="003C0614"/>
    <w:p w14:paraId="17AA7F40" w14:textId="77777777" w:rsidR="004D4FE6" w:rsidRDefault="004D4FE6" w:rsidP="000868A2">
      <w:pPr>
        <w:pStyle w:val="Heading1"/>
        <w:numPr>
          <w:ilvl w:val="0"/>
          <w:numId w:val="16"/>
        </w:numPr>
      </w:pPr>
      <w:bookmarkStart w:id="6" w:name="_Toc3456803"/>
      <w:r>
        <w:lastRenderedPageBreak/>
        <w:t>Programs</w:t>
      </w:r>
      <w:bookmarkEnd w:id="6"/>
    </w:p>
    <w:p w14:paraId="02E08555" w14:textId="77777777" w:rsidR="004D4FE6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7" w:name="_Toc3456804"/>
      <w:r>
        <w:t>MS Windows Executables</w:t>
      </w:r>
      <w:bookmarkEnd w:id="7"/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1326"/>
        <w:gridCol w:w="7463"/>
      </w:tblGrid>
      <w:tr w:rsidR="004D4FE6" w:rsidRPr="004D4FE6" w14:paraId="717D772E" w14:textId="77777777" w:rsidTr="006A5524">
        <w:tc>
          <w:tcPr>
            <w:tcW w:w="1326" w:type="dxa"/>
            <w:vAlign w:val="center"/>
          </w:tcPr>
          <w:p w14:paraId="7A67C18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7463" w:type="dxa"/>
            <w:vAlign w:val="center"/>
          </w:tcPr>
          <w:p w14:paraId="79775179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5F29185A" w14:textId="77777777" w:rsidTr="006A5524">
        <w:tc>
          <w:tcPr>
            <w:tcW w:w="1326" w:type="dxa"/>
            <w:vAlign w:val="center"/>
          </w:tcPr>
          <w:p w14:paraId="75521306" w14:textId="7B98BF5A" w:rsidR="004D4FE6" w:rsidRDefault="006A5524" w:rsidP="0090174E">
            <w:r>
              <w:t>recRTV.exe</w:t>
            </w:r>
          </w:p>
        </w:tc>
        <w:tc>
          <w:tcPr>
            <w:tcW w:w="7463" w:type="dxa"/>
            <w:vAlign w:val="center"/>
          </w:tcPr>
          <w:p w14:paraId="68B0BBFF" w14:textId="383019B9" w:rsidR="004D4FE6" w:rsidRDefault="006A5524" w:rsidP="004D4FE6">
            <w:r>
              <w:t>Capturing of RTVs.</w:t>
            </w:r>
          </w:p>
        </w:tc>
      </w:tr>
    </w:tbl>
    <w:p w14:paraId="4698120E" w14:textId="77777777" w:rsidR="004D4FE6" w:rsidRPr="004D4FE6" w:rsidRDefault="004D4FE6" w:rsidP="004D4FE6"/>
    <w:p w14:paraId="52F9895D" w14:textId="77777777" w:rsidR="00F850B0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8" w:name="_Toc3456805"/>
      <w:r>
        <w:t>SQL Stored Procedure</w:t>
      </w:r>
      <w:r w:rsidR="00F850B0">
        <w:t>s</w:t>
      </w:r>
      <w:bookmarkEnd w:id="8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35"/>
        <w:gridCol w:w="6554"/>
      </w:tblGrid>
      <w:tr w:rsidR="00F850B0" w:rsidRPr="004D4FE6" w14:paraId="1578D5E4" w14:textId="77777777" w:rsidTr="006A5524">
        <w:tc>
          <w:tcPr>
            <w:tcW w:w="2235" w:type="dxa"/>
            <w:vAlign w:val="center"/>
          </w:tcPr>
          <w:p w14:paraId="4A178C4D" w14:textId="77777777" w:rsidR="00F850B0" w:rsidRPr="004D4FE6" w:rsidRDefault="00F850B0" w:rsidP="0090174E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6554" w:type="dxa"/>
            <w:vAlign w:val="center"/>
          </w:tcPr>
          <w:p w14:paraId="046E45CF" w14:textId="77777777"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14:paraId="0E466509" w14:textId="77777777" w:rsidTr="006A5524">
        <w:tc>
          <w:tcPr>
            <w:tcW w:w="2235" w:type="dxa"/>
            <w:vAlign w:val="center"/>
          </w:tcPr>
          <w:p w14:paraId="57B24E70" w14:textId="64C884FE" w:rsidR="00F850B0" w:rsidRPr="00310117" w:rsidRDefault="006A5524" w:rsidP="00310117">
            <w:proofErr w:type="spellStart"/>
            <w:r>
              <w:t>recRTVAddDetHdr</w:t>
            </w:r>
            <w:proofErr w:type="spellEnd"/>
          </w:p>
        </w:tc>
        <w:tc>
          <w:tcPr>
            <w:tcW w:w="6554" w:type="dxa"/>
            <w:vAlign w:val="center"/>
          </w:tcPr>
          <w:p w14:paraId="6E780AE2" w14:textId="4748A4DE" w:rsidR="00F850B0" w:rsidRPr="00310117" w:rsidRDefault="00E925B4" w:rsidP="00310117">
            <w:r>
              <w:t>Retrieves the GRV</w:t>
            </w:r>
            <w:r w:rsidR="0062172C">
              <w:t>’s item</w:t>
            </w:r>
            <w:r>
              <w:t xml:space="preserve"> details</w:t>
            </w:r>
            <w:r w:rsidR="0062172C">
              <w:t>.</w:t>
            </w:r>
          </w:p>
        </w:tc>
      </w:tr>
      <w:tr w:rsidR="00310117" w:rsidRPr="00310117" w14:paraId="57D90D35" w14:textId="77777777" w:rsidTr="006A5524">
        <w:tc>
          <w:tcPr>
            <w:tcW w:w="2235" w:type="dxa"/>
            <w:vAlign w:val="center"/>
          </w:tcPr>
          <w:p w14:paraId="3D9EB128" w14:textId="3F5FC5A0" w:rsidR="00310117" w:rsidRPr="00310117" w:rsidRDefault="006A5524" w:rsidP="00310117">
            <w:proofErr w:type="spellStart"/>
            <w:r>
              <w:t>recRTVAddDetDet</w:t>
            </w:r>
            <w:proofErr w:type="spellEnd"/>
          </w:p>
        </w:tc>
        <w:tc>
          <w:tcPr>
            <w:tcW w:w="6554" w:type="dxa"/>
            <w:vAlign w:val="center"/>
          </w:tcPr>
          <w:p w14:paraId="0BFF2FCA" w14:textId="06CE2357" w:rsidR="00310117" w:rsidRPr="00310117" w:rsidRDefault="0062172C" w:rsidP="00310117">
            <w:r>
              <w:t>Calculates the quantities and binning state of the GRV’s items.</w:t>
            </w:r>
          </w:p>
        </w:tc>
      </w:tr>
      <w:tr w:rsidR="00310117" w:rsidRPr="00310117" w14:paraId="705FFA8B" w14:textId="77777777" w:rsidTr="006A5524">
        <w:tc>
          <w:tcPr>
            <w:tcW w:w="2235" w:type="dxa"/>
            <w:vAlign w:val="center"/>
          </w:tcPr>
          <w:p w14:paraId="3CDC8644" w14:textId="0ED1E9A1" w:rsidR="00310117" w:rsidRPr="00310117" w:rsidRDefault="006A5524" w:rsidP="00310117">
            <w:proofErr w:type="spellStart"/>
            <w:r>
              <w:t>recRTVAddAdd</w:t>
            </w:r>
            <w:proofErr w:type="spellEnd"/>
          </w:p>
        </w:tc>
        <w:tc>
          <w:tcPr>
            <w:tcW w:w="6554" w:type="dxa"/>
            <w:vAlign w:val="center"/>
          </w:tcPr>
          <w:p w14:paraId="7317BAA3" w14:textId="67C33B5A" w:rsidR="00310117" w:rsidRPr="00310117" w:rsidRDefault="00170798" w:rsidP="00310117">
            <w:r>
              <w:t>Gets the GRV’s “</w:t>
            </w:r>
            <w:r>
              <w:t>additional</w:t>
            </w:r>
            <w:r>
              <w:t>” detail.</w:t>
            </w:r>
          </w:p>
        </w:tc>
      </w:tr>
      <w:tr w:rsidR="00310117" w:rsidRPr="00310117" w14:paraId="16F9272A" w14:textId="77777777" w:rsidTr="006A5524">
        <w:tc>
          <w:tcPr>
            <w:tcW w:w="2235" w:type="dxa"/>
            <w:vAlign w:val="center"/>
          </w:tcPr>
          <w:p w14:paraId="2D1BA61A" w14:textId="25E7C3E4" w:rsidR="00310117" w:rsidRPr="00310117" w:rsidRDefault="006A5524" w:rsidP="00310117">
            <w:proofErr w:type="spellStart"/>
            <w:r>
              <w:t>recRTVDetLine</w:t>
            </w:r>
            <w:proofErr w:type="spellEnd"/>
          </w:p>
        </w:tc>
        <w:tc>
          <w:tcPr>
            <w:tcW w:w="6554" w:type="dxa"/>
            <w:vAlign w:val="center"/>
          </w:tcPr>
          <w:p w14:paraId="18BFF3D0" w14:textId="7AC79A04" w:rsidR="00310117" w:rsidRPr="00310117" w:rsidRDefault="000E1950" w:rsidP="00310117">
            <w:r>
              <w:t>Makes sure that the RTV quantity does not exceed the available items.</w:t>
            </w:r>
          </w:p>
        </w:tc>
      </w:tr>
      <w:tr w:rsidR="00DD467A" w:rsidRPr="00310117" w14:paraId="72797CD6" w14:textId="77777777" w:rsidTr="006A5524">
        <w:tc>
          <w:tcPr>
            <w:tcW w:w="2235" w:type="dxa"/>
            <w:vAlign w:val="center"/>
          </w:tcPr>
          <w:p w14:paraId="6F603D5D" w14:textId="5CCB346B" w:rsidR="00DD467A" w:rsidRDefault="006A5524" w:rsidP="00310117">
            <w:proofErr w:type="spellStart"/>
            <w:r>
              <w:t>recRTVPost</w:t>
            </w:r>
            <w:proofErr w:type="spellEnd"/>
          </w:p>
        </w:tc>
        <w:tc>
          <w:tcPr>
            <w:tcW w:w="6554" w:type="dxa"/>
            <w:vAlign w:val="center"/>
          </w:tcPr>
          <w:p w14:paraId="5A1F0116" w14:textId="5F4D46D9" w:rsidR="00DD467A" w:rsidRPr="00310117" w:rsidRDefault="00E96BC7" w:rsidP="00310117">
            <w:r>
              <w:t>Creates the credit note transaction, and a stock RTV transaction if needed.</w:t>
            </w:r>
          </w:p>
        </w:tc>
      </w:tr>
      <w:tr w:rsidR="00DD467A" w:rsidRPr="00310117" w14:paraId="4A7EE148" w14:textId="77777777" w:rsidTr="006A5524">
        <w:tc>
          <w:tcPr>
            <w:tcW w:w="2235" w:type="dxa"/>
            <w:vAlign w:val="center"/>
          </w:tcPr>
          <w:p w14:paraId="39B70166" w14:textId="5AB17A53" w:rsidR="00DD467A" w:rsidRDefault="006A5524" w:rsidP="00310117">
            <w:proofErr w:type="spellStart"/>
            <w:r>
              <w:t>recRTVDelete</w:t>
            </w:r>
            <w:proofErr w:type="spellEnd"/>
          </w:p>
        </w:tc>
        <w:tc>
          <w:tcPr>
            <w:tcW w:w="6554" w:type="dxa"/>
            <w:vAlign w:val="center"/>
          </w:tcPr>
          <w:p w14:paraId="3CBD7002" w14:textId="62DE3646" w:rsidR="00DD467A" w:rsidRPr="00310117" w:rsidRDefault="000A26B1" w:rsidP="00310117">
            <w:r>
              <w:t>Deletes a whole RTV if it has not yet been posted.</w:t>
            </w:r>
          </w:p>
        </w:tc>
      </w:tr>
      <w:tr w:rsidR="00DD467A" w:rsidRPr="00310117" w14:paraId="5F6C816D" w14:textId="77777777" w:rsidTr="006A5524">
        <w:tc>
          <w:tcPr>
            <w:tcW w:w="2235" w:type="dxa"/>
            <w:vAlign w:val="center"/>
          </w:tcPr>
          <w:p w14:paraId="009557DC" w14:textId="0FDD55D1" w:rsidR="00DD467A" w:rsidRDefault="006A5524" w:rsidP="00310117">
            <w:proofErr w:type="spellStart"/>
            <w:r>
              <w:t>recRTVDetNextLineId</w:t>
            </w:r>
            <w:proofErr w:type="spellEnd"/>
          </w:p>
        </w:tc>
        <w:tc>
          <w:tcPr>
            <w:tcW w:w="6554" w:type="dxa"/>
            <w:vAlign w:val="center"/>
          </w:tcPr>
          <w:p w14:paraId="7C583815" w14:textId="38D13A62" w:rsidR="00DD467A" w:rsidRPr="00310117" w:rsidRDefault="00345DB4" w:rsidP="00563B89">
            <w:r>
              <w:t xml:space="preserve">Generates the next line id for the current </w:t>
            </w:r>
            <w:r w:rsidR="00A352F6">
              <w:t>RTV.</w:t>
            </w:r>
          </w:p>
        </w:tc>
      </w:tr>
    </w:tbl>
    <w:p w14:paraId="78D635D7" w14:textId="77777777" w:rsidR="00C35D96" w:rsidRDefault="00C35D96" w:rsidP="00034D37"/>
    <w:p w14:paraId="4CDC67D9" w14:textId="77777777" w:rsidR="00C35D96" w:rsidRDefault="00C35D96" w:rsidP="00034D37"/>
    <w:p w14:paraId="3E88DBA7" w14:textId="77777777" w:rsidR="00034D37" w:rsidRDefault="00034D37" w:rsidP="00D56555">
      <w:pPr>
        <w:ind w:left="720"/>
        <w:jc w:val="both"/>
      </w:pPr>
    </w:p>
    <w:p w14:paraId="235F7E1F" w14:textId="77777777" w:rsidR="00034D37" w:rsidRPr="00034D37" w:rsidRDefault="00034D37" w:rsidP="00D56555">
      <w:pPr>
        <w:ind w:left="720"/>
        <w:jc w:val="both"/>
      </w:pPr>
    </w:p>
    <w:p w14:paraId="217626AF" w14:textId="77777777" w:rsidR="006E3EF6" w:rsidRPr="006E3EF6" w:rsidRDefault="006E3EF6" w:rsidP="00D56555">
      <w:pPr>
        <w:ind w:left="720"/>
        <w:jc w:val="both"/>
      </w:pPr>
    </w:p>
    <w:p w14:paraId="4CB6BC9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6F10AE" w14:textId="77777777" w:rsidR="00F5622E" w:rsidRDefault="00DB130A" w:rsidP="000868A2">
      <w:pPr>
        <w:pStyle w:val="Heading1"/>
        <w:numPr>
          <w:ilvl w:val="0"/>
          <w:numId w:val="16"/>
        </w:numPr>
      </w:pPr>
      <w:bookmarkStart w:id="9" w:name="_Toc3456806"/>
      <w:r>
        <w:lastRenderedPageBreak/>
        <w:t>Acceptance</w:t>
      </w:r>
      <w:bookmarkEnd w:id="9"/>
    </w:p>
    <w:p w14:paraId="54DFB2C9" w14:textId="2FA64D34" w:rsidR="00D62482" w:rsidRDefault="00DB130A" w:rsidP="000868A2">
      <w:pPr>
        <w:ind w:left="567"/>
      </w:pPr>
      <w:r>
        <w:t xml:space="preserve">I hereby confirm that I have been fully informed of the documents content </w:t>
      </w:r>
      <w:r w:rsidR="00D62482">
        <w:t>and received training to understand how the detailed instructions are to be applied</w:t>
      </w:r>
      <w:r w:rsidR="000868A2">
        <w:t>:</w:t>
      </w:r>
    </w:p>
    <w:p w14:paraId="19EC950A" w14:textId="77777777" w:rsidR="003C0614" w:rsidRDefault="003C0614" w:rsidP="000868A2">
      <w:pPr>
        <w:ind w:left="567"/>
      </w:pPr>
    </w:p>
    <w:p w14:paraId="741E2912" w14:textId="2C5CC9CB" w:rsidR="00D62482" w:rsidRDefault="003C0614" w:rsidP="003C0614">
      <w:pPr>
        <w:tabs>
          <w:tab w:val="right" w:pos="1418"/>
          <w:tab w:val="left" w:pos="1560"/>
        </w:tabs>
        <w:spacing w:line="480" w:lineRule="auto"/>
        <w:ind w:left="567"/>
        <w:rPr>
          <w:sz w:val="24"/>
        </w:rPr>
      </w:pPr>
      <w:r>
        <w:rPr>
          <w:sz w:val="24"/>
        </w:rPr>
        <w:tab/>
      </w:r>
      <w:r w:rsidR="00D62482">
        <w:rPr>
          <w:sz w:val="24"/>
        </w:rPr>
        <w:t>Name</w:t>
      </w:r>
      <w:r>
        <w:rPr>
          <w:sz w:val="24"/>
        </w:rPr>
        <w:tab/>
      </w:r>
      <w:r w:rsidR="00D62482">
        <w:rPr>
          <w:sz w:val="24"/>
        </w:rPr>
        <w:t>……………………………………………………………………………</w:t>
      </w:r>
    </w:p>
    <w:p w14:paraId="425D76D1" w14:textId="77777777" w:rsidR="003C0614" w:rsidRDefault="003C0614" w:rsidP="003C0614">
      <w:pPr>
        <w:tabs>
          <w:tab w:val="right" w:pos="1418"/>
          <w:tab w:val="left" w:pos="1560"/>
        </w:tabs>
        <w:spacing w:line="480" w:lineRule="auto"/>
        <w:ind w:left="567"/>
        <w:rPr>
          <w:sz w:val="24"/>
        </w:rPr>
      </w:pPr>
      <w:r>
        <w:rPr>
          <w:sz w:val="24"/>
        </w:rPr>
        <w:tab/>
      </w:r>
      <w:r w:rsidR="00D62482">
        <w:rPr>
          <w:sz w:val="24"/>
        </w:rPr>
        <w:t>Job Title</w:t>
      </w:r>
      <w:r>
        <w:rPr>
          <w:sz w:val="24"/>
        </w:rPr>
        <w:tab/>
      </w:r>
      <w:r w:rsidR="00D62482">
        <w:rPr>
          <w:sz w:val="24"/>
        </w:rPr>
        <w:t>…………………………………………………………………………</w:t>
      </w:r>
      <w:r>
        <w:rPr>
          <w:sz w:val="24"/>
        </w:rPr>
        <w:t>…</w:t>
      </w:r>
    </w:p>
    <w:p w14:paraId="6453092A" w14:textId="6BDAC250" w:rsidR="00D62482" w:rsidRDefault="003C0614" w:rsidP="003C0614">
      <w:pPr>
        <w:tabs>
          <w:tab w:val="right" w:pos="1418"/>
          <w:tab w:val="left" w:pos="1560"/>
        </w:tabs>
        <w:spacing w:line="480" w:lineRule="auto"/>
        <w:ind w:left="567"/>
        <w:rPr>
          <w:sz w:val="24"/>
        </w:rPr>
      </w:pPr>
      <w:r>
        <w:rPr>
          <w:sz w:val="24"/>
        </w:rPr>
        <w:tab/>
      </w:r>
      <w:r w:rsidR="00D62482">
        <w:rPr>
          <w:sz w:val="24"/>
        </w:rPr>
        <w:t>Signed</w:t>
      </w:r>
      <w:r>
        <w:rPr>
          <w:sz w:val="24"/>
        </w:rPr>
        <w:tab/>
      </w:r>
      <w:r w:rsidR="00D62482">
        <w:rPr>
          <w:sz w:val="24"/>
        </w:rPr>
        <w:t>……………………………………………………………………………</w:t>
      </w:r>
    </w:p>
    <w:p w14:paraId="17A3F5D8" w14:textId="16A3FE3B" w:rsidR="00D62482" w:rsidRPr="00D62482" w:rsidRDefault="003C0614" w:rsidP="003C0614">
      <w:pPr>
        <w:tabs>
          <w:tab w:val="right" w:pos="1418"/>
          <w:tab w:val="left" w:pos="1560"/>
        </w:tabs>
        <w:spacing w:line="480" w:lineRule="auto"/>
        <w:ind w:left="567"/>
        <w:rPr>
          <w:sz w:val="24"/>
        </w:rPr>
      </w:pPr>
      <w:r>
        <w:rPr>
          <w:sz w:val="24"/>
        </w:rPr>
        <w:tab/>
      </w:r>
      <w:r w:rsidR="00D62482">
        <w:rPr>
          <w:sz w:val="24"/>
        </w:rPr>
        <w:t>Date</w:t>
      </w:r>
      <w:r>
        <w:rPr>
          <w:sz w:val="24"/>
        </w:rPr>
        <w:tab/>
      </w:r>
      <w:r w:rsidR="00D62482">
        <w:rPr>
          <w:sz w:val="24"/>
        </w:rPr>
        <w:t>……………………………………………………………………………</w:t>
      </w:r>
    </w:p>
    <w:sectPr w:rsidR="00D62482" w:rsidRPr="00D62482" w:rsidSect="00F77AC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C2E0E" w14:textId="77777777" w:rsidR="00AF2AE8" w:rsidRDefault="00AF2AE8" w:rsidP="005E292E">
      <w:pPr>
        <w:spacing w:after="0" w:line="240" w:lineRule="auto"/>
      </w:pPr>
      <w:r>
        <w:separator/>
      </w:r>
    </w:p>
  </w:endnote>
  <w:endnote w:type="continuationSeparator" w:id="0">
    <w:p w14:paraId="6EB608B4" w14:textId="77777777" w:rsidR="00AF2AE8" w:rsidRDefault="00AF2AE8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217C" w14:textId="0CFB9D3B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E021B7">
      <w:rPr>
        <w:noProof/>
      </w:rPr>
      <w:fldChar w:fldCharType="begin"/>
    </w:r>
    <w:r w:rsidR="00E021B7">
      <w:rPr>
        <w:noProof/>
      </w:rPr>
      <w:instrText xml:space="preserve"> FILENAME   \* MERGEFORMAT </w:instrText>
    </w:r>
    <w:r w:rsidR="00E021B7">
      <w:rPr>
        <w:noProof/>
      </w:rPr>
      <w:fldChar w:fldCharType="separate"/>
    </w:r>
    <w:r w:rsidR="00C865BE">
      <w:rPr>
        <w:noProof/>
      </w:rPr>
      <w:t>ReturnsToVendorV1.docx</w:t>
    </w:r>
    <w:r w:rsidR="00E021B7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902">
      <w:rPr>
        <w:noProof/>
      </w:rPr>
      <w:t>9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943902">
      <w:rPr>
        <w:noProof/>
      </w:rPr>
      <w:t>9</w:t>
    </w:r>
    <w:r w:rsidR="00337D4B">
      <w:rPr>
        <w:noProof/>
      </w:rPr>
      <w:fldChar w:fldCharType="end"/>
    </w:r>
  </w:p>
  <w:p w14:paraId="5E908356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4179B" w14:textId="77777777" w:rsidR="00AF2AE8" w:rsidRDefault="00AF2AE8" w:rsidP="005E292E">
      <w:pPr>
        <w:spacing w:after="0" w:line="240" w:lineRule="auto"/>
      </w:pPr>
      <w:r>
        <w:separator/>
      </w:r>
    </w:p>
  </w:footnote>
  <w:footnote w:type="continuationSeparator" w:id="0">
    <w:p w14:paraId="1418C7FF" w14:textId="77777777" w:rsidR="00AF2AE8" w:rsidRDefault="00AF2AE8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2A9E2" w14:textId="7DF7C9EB" w:rsidR="006E3EF6" w:rsidRPr="00413E33" w:rsidRDefault="005060B6" w:rsidP="00413E33">
    <w:pPr>
      <w:pStyle w:val="Header"/>
    </w:pPr>
    <w:r>
      <w:rPr>
        <w:b/>
        <w:sz w:val="18"/>
      </w:rPr>
      <w:t>Explanation of the process to return stock to a supplier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8C67CD"/>
    <w:multiLevelType w:val="multilevel"/>
    <w:tmpl w:val="694E5FE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7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687EDA"/>
    <w:multiLevelType w:val="hybridMultilevel"/>
    <w:tmpl w:val="742C54A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A02CE"/>
    <w:multiLevelType w:val="hybridMultilevel"/>
    <w:tmpl w:val="93EC40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17"/>
  </w:num>
  <w:num w:numId="5">
    <w:abstractNumId w:val="2"/>
  </w:num>
  <w:num w:numId="6">
    <w:abstractNumId w:val="31"/>
  </w:num>
  <w:num w:numId="7">
    <w:abstractNumId w:val="32"/>
  </w:num>
  <w:num w:numId="8">
    <w:abstractNumId w:val="7"/>
  </w:num>
  <w:num w:numId="9">
    <w:abstractNumId w:val="12"/>
  </w:num>
  <w:num w:numId="10">
    <w:abstractNumId w:val="22"/>
  </w:num>
  <w:num w:numId="11">
    <w:abstractNumId w:val="6"/>
  </w:num>
  <w:num w:numId="12">
    <w:abstractNumId w:val="28"/>
  </w:num>
  <w:num w:numId="13">
    <w:abstractNumId w:val="34"/>
  </w:num>
  <w:num w:numId="14">
    <w:abstractNumId w:val="13"/>
  </w:num>
  <w:num w:numId="15">
    <w:abstractNumId w:val="8"/>
  </w:num>
  <w:num w:numId="16">
    <w:abstractNumId w:val="16"/>
  </w:num>
  <w:num w:numId="17">
    <w:abstractNumId w:val="0"/>
  </w:num>
  <w:num w:numId="18">
    <w:abstractNumId w:val="10"/>
  </w:num>
  <w:num w:numId="19">
    <w:abstractNumId w:val="14"/>
  </w:num>
  <w:num w:numId="20">
    <w:abstractNumId w:val="11"/>
  </w:num>
  <w:num w:numId="21">
    <w:abstractNumId w:val="33"/>
  </w:num>
  <w:num w:numId="22">
    <w:abstractNumId w:val="18"/>
  </w:num>
  <w:num w:numId="23">
    <w:abstractNumId w:val="5"/>
  </w:num>
  <w:num w:numId="24">
    <w:abstractNumId w:val="26"/>
  </w:num>
  <w:num w:numId="25">
    <w:abstractNumId w:val="30"/>
  </w:num>
  <w:num w:numId="26">
    <w:abstractNumId w:val="9"/>
  </w:num>
  <w:num w:numId="27">
    <w:abstractNumId w:val="29"/>
  </w:num>
  <w:num w:numId="28">
    <w:abstractNumId w:val="27"/>
  </w:num>
  <w:num w:numId="29">
    <w:abstractNumId w:val="1"/>
  </w:num>
  <w:num w:numId="30">
    <w:abstractNumId w:val="25"/>
  </w:num>
  <w:num w:numId="31">
    <w:abstractNumId w:val="19"/>
  </w:num>
  <w:num w:numId="32">
    <w:abstractNumId w:val="23"/>
  </w:num>
  <w:num w:numId="33">
    <w:abstractNumId w:val="3"/>
  </w:num>
  <w:num w:numId="34">
    <w:abstractNumId w:val="20"/>
  </w:num>
  <w:num w:numId="3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A1C48"/>
    <w:rsid w:val="000A26B1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1950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47D7C"/>
    <w:rsid w:val="00150862"/>
    <w:rsid w:val="00150BF6"/>
    <w:rsid w:val="00151F11"/>
    <w:rsid w:val="00154532"/>
    <w:rsid w:val="00154AC4"/>
    <w:rsid w:val="00157DF1"/>
    <w:rsid w:val="00161BD6"/>
    <w:rsid w:val="00162139"/>
    <w:rsid w:val="00170798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04BB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5DB4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0614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060B6"/>
    <w:rsid w:val="00510BDA"/>
    <w:rsid w:val="00511DD0"/>
    <w:rsid w:val="00513480"/>
    <w:rsid w:val="00517228"/>
    <w:rsid w:val="00522BC6"/>
    <w:rsid w:val="005230DF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7278"/>
    <w:rsid w:val="0060283A"/>
    <w:rsid w:val="00603316"/>
    <w:rsid w:val="006076A5"/>
    <w:rsid w:val="00607CDE"/>
    <w:rsid w:val="00611695"/>
    <w:rsid w:val="006167CC"/>
    <w:rsid w:val="0062172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524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740C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3114"/>
    <w:rsid w:val="0089329E"/>
    <w:rsid w:val="008A6EEB"/>
    <w:rsid w:val="008B0350"/>
    <w:rsid w:val="008B084E"/>
    <w:rsid w:val="008B59B8"/>
    <w:rsid w:val="008B5A73"/>
    <w:rsid w:val="008B76E0"/>
    <w:rsid w:val="008B7973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3AB4"/>
    <w:rsid w:val="00955F1B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352F6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2AE8"/>
    <w:rsid w:val="00AF35DA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779A2"/>
    <w:rsid w:val="00B842B1"/>
    <w:rsid w:val="00B847DC"/>
    <w:rsid w:val="00B85E81"/>
    <w:rsid w:val="00B861F8"/>
    <w:rsid w:val="00B92C0F"/>
    <w:rsid w:val="00B9476C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865BE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4508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21B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25B4"/>
    <w:rsid w:val="00E941DF"/>
    <w:rsid w:val="00E96007"/>
    <w:rsid w:val="00E964DF"/>
    <w:rsid w:val="00E96BC7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EF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9627B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16BC30-E8A5-4BBA-9633-53E49B12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Jaco van der Westhuizen</cp:lastModifiedBy>
  <cp:revision>20</cp:revision>
  <cp:lastPrinted>2018-03-22T15:58:00Z</cp:lastPrinted>
  <dcterms:created xsi:type="dcterms:W3CDTF">2018-09-18T08:40:00Z</dcterms:created>
  <dcterms:modified xsi:type="dcterms:W3CDTF">2019-03-14T09:54:00Z</dcterms:modified>
</cp:coreProperties>
</file>