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C2799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32E82860"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383021">
                                    <w:rPr>
                                      <w:b/>
                                      <w:color w:val="FF0000"/>
                                      <w:sz w:val="28"/>
                                      <w:lang w:val="en-ZA"/>
                                    </w:rPr>
                                    <w:t>6</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C2799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32E82860"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383021">
                              <w:rPr>
                                <w:b/>
                                <w:color w:val="FF0000"/>
                                <w:sz w:val="28"/>
                                <w:lang w:val="en-ZA"/>
                              </w:rPr>
                              <w:t>6</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9D426"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1FF2E2FB" w14:textId="786DDDA3" w:rsidR="00B00D46" w:rsidRDefault="00383021" w:rsidP="001A145C">
                                <w:pPr>
                                  <w:pStyle w:val="NoSpacing"/>
                                  <w:jc w:val="right"/>
                                  <w:rPr>
                                    <w:color w:val="595959" w:themeColor="text1" w:themeTint="A6"/>
                                    <w:sz w:val="20"/>
                                    <w:szCs w:val="20"/>
                                  </w:rPr>
                                </w:pPr>
                                <w:r>
                                  <w:rPr>
                                    <w:b/>
                                    <w:color w:val="000000" w:themeColor="text1"/>
                                    <w:sz w:val="24"/>
                                    <w:szCs w:val="28"/>
                                  </w:rPr>
                                  <w:t>As part of the management of stock, there is often a need to adjust the quantity of stock on hand. Concurrent to this is the need to adjust the average cost most often to reduce the cost value to then reduce the selling price to get old stock out of the system</w:t>
                                </w: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1109D426"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1FF2E2FB" w14:textId="786DDDA3" w:rsidR="00B00D46" w:rsidRDefault="00383021" w:rsidP="001A145C">
                          <w:pPr>
                            <w:pStyle w:val="NoSpacing"/>
                            <w:jc w:val="right"/>
                            <w:rPr>
                              <w:color w:val="595959" w:themeColor="text1" w:themeTint="A6"/>
                              <w:sz w:val="20"/>
                              <w:szCs w:val="20"/>
                            </w:rPr>
                          </w:pPr>
                          <w:r>
                            <w:rPr>
                              <w:b/>
                              <w:color w:val="000000" w:themeColor="text1"/>
                              <w:sz w:val="24"/>
                              <w:szCs w:val="28"/>
                            </w:rPr>
                            <w:t>As part of the management of stock, there is often a need to adjust the quantity of stock on hand. Concurrent to this is the need to adjust the average cost most often to reduce the cost value to then reduce the selling price to get old stock out of the system</w:t>
                          </w: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09502EF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29C9D0BA" w:rsidR="006E3EF6" w:rsidRDefault="00383021">
                                <w:pPr>
                                  <w:pStyle w:val="NoSpacing"/>
                                  <w:jc w:val="right"/>
                                  <w:rPr>
                                    <w:color w:val="FFFFFF" w:themeColor="background1"/>
                                    <w:sz w:val="72"/>
                                    <w:szCs w:val="72"/>
                                    <w:lang w:val="en-ZA"/>
                                  </w:rPr>
                                </w:pPr>
                                <w:r>
                                  <w:rPr>
                                    <w:color w:val="FFFFFF" w:themeColor="background1"/>
                                    <w:sz w:val="72"/>
                                    <w:szCs w:val="72"/>
                                    <w:lang w:val="en-ZA"/>
                                  </w:rPr>
                                  <w:t>Stock Journals</w:t>
                                </w:r>
                              </w:p>
                              <w:p w14:paraId="68377401" w14:textId="2005F32E" w:rsidR="00C865BE" w:rsidRDefault="00383021">
                                <w:pPr>
                                  <w:pStyle w:val="NoSpacing"/>
                                  <w:jc w:val="right"/>
                                  <w:rPr>
                                    <w:color w:val="FFFFFF" w:themeColor="background1"/>
                                    <w:sz w:val="72"/>
                                    <w:szCs w:val="72"/>
                                    <w:lang w:val="en-ZA"/>
                                  </w:rPr>
                                </w:pPr>
                                <w:r>
                                  <w:rPr>
                                    <w:color w:val="FFFFFF" w:themeColor="background1"/>
                                    <w:sz w:val="72"/>
                                    <w:szCs w:val="72"/>
                                    <w:lang w:val="en-ZA"/>
                                  </w:rPr>
                                  <w:t>Adjust stock on hand and / or average cost value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29C9D0BA" w:rsidR="006E3EF6" w:rsidRDefault="00383021">
                          <w:pPr>
                            <w:pStyle w:val="NoSpacing"/>
                            <w:jc w:val="right"/>
                            <w:rPr>
                              <w:color w:val="FFFFFF" w:themeColor="background1"/>
                              <w:sz w:val="72"/>
                              <w:szCs w:val="72"/>
                              <w:lang w:val="en-ZA"/>
                            </w:rPr>
                          </w:pPr>
                          <w:r>
                            <w:rPr>
                              <w:color w:val="FFFFFF" w:themeColor="background1"/>
                              <w:sz w:val="72"/>
                              <w:szCs w:val="72"/>
                              <w:lang w:val="en-ZA"/>
                            </w:rPr>
                            <w:t>Stock Journals</w:t>
                          </w:r>
                        </w:p>
                        <w:p w14:paraId="68377401" w14:textId="2005F32E" w:rsidR="00C865BE" w:rsidRDefault="00383021">
                          <w:pPr>
                            <w:pStyle w:val="NoSpacing"/>
                            <w:jc w:val="right"/>
                            <w:rPr>
                              <w:color w:val="FFFFFF" w:themeColor="background1"/>
                              <w:sz w:val="72"/>
                              <w:szCs w:val="72"/>
                              <w:lang w:val="en-ZA"/>
                            </w:rPr>
                          </w:pPr>
                          <w:r>
                            <w:rPr>
                              <w:color w:val="FFFFFF" w:themeColor="background1"/>
                              <w:sz w:val="72"/>
                              <w:szCs w:val="72"/>
                              <w:lang w:val="en-ZA"/>
                            </w:rPr>
                            <w:t>Adjust stock on hand and / or average cost value</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18F52F41" w14:textId="2BD6C0DE" w:rsidR="00772A8E"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772A8E">
        <w:rPr>
          <w:noProof/>
        </w:rPr>
        <w:t>Document approval and distribution list</w:t>
      </w:r>
      <w:r w:rsidR="00772A8E">
        <w:rPr>
          <w:noProof/>
        </w:rPr>
        <w:tab/>
      </w:r>
      <w:r w:rsidR="00772A8E">
        <w:rPr>
          <w:noProof/>
        </w:rPr>
        <w:fldChar w:fldCharType="begin"/>
      </w:r>
      <w:r w:rsidR="00772A8E">
        <w:rPr>
          <w:noProof/>
        </w:rPr>
        <w:instrText xml:space="preserve"> PAGEREF _Toc2084780 \h </w:instrText>
      </w:r>
      <w:r w:rsidR="00772A8E">
        <w:rPr>
          <w:noProof/>
        </w:rPr>
      </w:r>
      <w:r w:rsidR="00772A8E">
        <w:rPr>
          <w:noProof/>
        </w:rPr>
        <w:fldChar w:fldCharType="separate"/>
      </w:r>
      <w:r w:rsidR="00772A8E">
        <w:rPr>
          <w:noProof/>
        </w:rPr>
        <w:t>2</w:t>
      </w:r>
      <w:r w:rsidR="00772A8E">
        <w:rPr>
          <w:noProof/>
        </w:rPr>
        <w:fldChar w:fldCharType="end"/>
      </w:r>
    </w:p>
    <w:p w14:paraId="11227DCC" w14:textId="58ED5400" w:rsidR="00772A8E" w:rsidRDefault="00772A8E">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_Toc2084781 \h </w:instrText>
      </w:r>
      <w:r>
        <w:rPr>
          <w:noProof/>
        </w:rPr>
      </w:r>
      <w:r>
        <w:rPr>
          <w:noProof/>
        </w:rPr>
        <w:fldChar w:fldCharType="separate"/>
      </w:r>
      <w:r>
        <w:rPr>
          <w:noProof/>
        </w:rPr>
        <w:t>3</w:t>
      </w:r>
      <w:r>
        <w:rPr>
          <w:noProof/>
        </w:rPr>
        <w:fldChar w:fldCharType="end"/>
      </w:r>
    </w:p>
    <w:p w14:paraId="7340C2E3" w14:textId="3A37A68F" w:rsidR="00772A8E" w:rsidRDefault="00772A8E">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_Toc2084782 \h </w:instrText>
      </w:r>
      <w:r>
        <w:rPr>
          <w:noProof/>
        </w:rPr>
      </w:r>
      <w:r>
        <w:rPr>
          <w:noProof/>
        </w:rPr>
        <w:fldChar w:fldCharType="separate"/>
      </w:r>
      <w:r>
        <w:rPr>
          <w:noProof/>
        </w:rPr>
        <w:t>3</w:t>
      </w:r>
      <w:r>
        <w:rPr>
          <w:noProof/>
        </w:rPr>
        <w:fldChar w:fldCharType="end"/>
      </w:r>
    </w:p>
    <w:p w14:paraId="16817F1F" w14:textId="6398A1CB" w:rsidR="00772A8E" w:rsidRDefault="00772A8E">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_Toc2084783 \h </w:instrText>
      </w:r>
      <w:r>
        <w:rPr>
          <w:noProof/>
        </w:rPr>
      </w:r>
      <w:r>
        <w:rPr>
          <w:noProof/>
        </w:rPr>
        <w:fldChar w:fldCharType="separate"/>
      </w:r>
      <w:r>
        <w:rPr>
          <w:noProof/>
        </w:rPr>
        <w:t>3</w:t>
      </w:r>
      <w:r>
        <w:rPr>
          <w:noProof/>
        </w:rPr>
        <w:fldChar w:fldCharType="end"/>
      </w:r>
    </w:p>
    <w:p w14:paraId="00F67719" w14:textId="3C870242" w:rsidR="00772A8E" w:rsidRDefault="00772A8E">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_Toc2084784 \h </w:instrText>
      </w:r>
      <w:r>
        <w:rPr>
          <w:noProof/>
        </w:rPr>
      </w:r>
      <w:r>
        <w:rPr>
          <w:noProof/>
        </w:rPr>
        <w:fldChar w:fldCharType="separate"/>
      </w:r>
      <w:r>
        <w:rPr>
          <w:noProof/>
        </w:rPr>
        <w:t>4</w:t>
      </w:r>
      <w:r>
        <w:rPr>
          <w:noProof/>
        </w:rPr>
        <w:fldChar w:fldCharType="end"/>
      </w:r>
    </w:p>
    <w:p w14:paraId="0A439B5B" w14:textId="4FA5C7C7" w:rsidR="00772A8E" w:rsidRDefault="00772A8E">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Programs</w:t>
      </w:r>
      <w:r>
        <w:rPr>
          <w:noProof/>
        </w:rPr>
        <w:tab/>
      </w:r>
      <w:r>
        <w:rPr>
          <w:noProof/>
        </w:rPr>
        <w:fldChar w:fldCharType="begin"/>
      </w:r>
      <w:r>
        <w:rPr>
          <w:noProof/>
        </w:rPr>
        <w:instrText xml:space="preserve"> PAGEREF _Toc2084785 \h </w:instrText>
      </w:r>
      <w:r>
        <w:rPr>
          <w:noProof/>
        </w:rPr>
      </w:r>
      <w:r>
        <w:rPr>
          <w:noProof/>
        </w:rPr>
        <w:fldChar w:fldCharType="separate"/>
      </w:r>
      <w:r>
        <w:rPr>
          <w:noProof/>
        </w:rPr>
        <w:t>4</w:t>
      </w:r>
      <w:r>
        <w:rPr>
          <w:noProof/>
        </w:rPr>
        <w:fldChar w:fldCharType="end"/>
      </w:r>
    </w:p>
    <w:p w14:paraId="5EAB980C" w14:textId="3BAF35CD" w:rsidR="00772A8E" w:rsidRDefault="00772A8E">
      <w:pPr>
        <w:pStyle w:val="TOC1"/>
        <w:tabs>
          <w:tab w:val="left" w:pos="660"/>
          <w:tab w:val="right" w:leader="dot" w:pos="9016"/>
        </w:tabs>
        <w:rPr>
          <w:rFonts w:eastAsiaTheme="minorEastAsia"/>
          <w:noProof/>
          <w:lang w:eastAsia="en-ZA"/>
        </w:rPr>
      </w:pPr>
      <w:r>
        <w:rPr>
          <w:noProof/>
        </w:rPr>
        <w:t>5.1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_Toc2084786 \h </w:instrText>
      </w:r>
      <w:r>
        <w:rPr>
          <w:noProof/>
        </w:rPr>
      </w:r>
      <w:r>
        <w:rPr>
          <w:noProof/>
        </w:rPr>
        <w:fldChar w:fldCharType="separate"/>
      </w:r>
      <w:r>
        <w:rPr>
          <w:noProof/>
        </w:rPr>
        <w:t>4</w:t>
      </w:r>
      <w:r>
        <w:rPr>
          <w:noProof/>
        </w:rPr>
        <w:fldChar w:fldCharType="end"/>
      </w:r>
    </w:p>
    <w:p w14:paraId="77F4ED38" w14:textId="58FBC918" w:rsidR="00772A8E" w:rsidRDefault="00772A8E">
      <w:pPr>
        <w:pStyle w:val="TOC1"/>
        <w:tabs>
          <w:tab w:val="left" w:pos="660"/>
          <w:tab w:val="right" w:leader="dot" w:pos="9016"/>
        </w:tabs>
        <w:rPr>
          <w:rFonts w:eastAsiaTheme="minorEastAsia"/>
          <w:noProof/>
          <w:lang w:eastAsia="en-ZA"/>
        </w:rPr>
      </w:pPr>
      <w:r>
        <w:rPr>
          <w:noProof/>
        </w:rPr>
        <w:t>5.2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_Toc2084787 \h </w:instrText>
      </w:r>
      <w:r>
        <w:rPr>
          <w:noProof/>
        </w:rPr>
      </w:r>
      <w:r>
        <w:rPr>
          <w:noProof/>
        </w:rPr>
        <w:fldChar w:fldCharType="separate"/>
      </w:r>
      <w:r>
        <w:rPr>
          <w:noProof/>
        </w:rPr>
        <w:t>4</w:t>
      </w:r>
      <w:r>
        <w:rPr>
          <w:noProof/>
        </w:rPr>
        <w:fldChar w:fldCharType="end"/>
      </w:r>
    </w:p>
    <w:p w14:paraId="0A3D723C" w14:textId="51AC4E39" w:rsidR="00772A8E" w:rsidRDefault="00772A8E">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Acceptance</w:t>
      </w:r>
      <w:r>
        <w:rPr>
          <w:noProof/>
        </w:rPr>
        <w:tab/>
      </w:r>
      <w:r>
        <w:rPr>
          <w:noProof/>
        </w:rPr>
        <w:fldChar w:fldCharType="begin"/>
      </w:r>
      <w:r>
        <w:rPr>
          <w:noProof/>
        </w:rPr>
        <w:instrText xml:space="preserve"> PAGEREF _Toc2084788 \h </w:instrText>
      </w:r>
      <w:r>
        <w:rPr>
          <w:noProof/>
        </w:rPr>
      </w:r>
      <w:r>
        <w:rPr>
          <w:noProof/>
        </w:rPr>
        <w:fldChar w:fldCharType="separate"/>
      </w:r>
      <w:r>
        <w:rPr>
          <w:noProof/>
        </w:rPr>
        <w:t>5</w:t>
      </w:r>
      <w:r>
        <w:rPr>
          <w:noProof/>
        </w:rPr>
        <w:fldChar w:fldCharType="end"/>
      </w:r>
    </w:p>
    <w:p w14:paraId="51E4E1C1" w14:textId="794CF8E4"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0" w:name="_Toc2084780"/>
      <w:r>
        <w:lastRenderedPageBreak/>
        <w:t>Document approval and distribution list</w:t>
      </w:r>
      <w:bookmarkEnd w:id="0"/>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1" w:name="_Toc2084781"/>
      <w:r>
        <w:lastRenderedPageBreak/>
        <w:t>Introduction</w:t>
      </w:r>
      <w:bookmarkEnd w:id="1"/>
    </w:p>
    <w:p w14:paraId="28F5675F" w14:textId="3CE310C5" w:rsidR="006E3EF6" w:rsidRDefault="006E3EF6" w:rsidP="00D56555">
      <w:pPr>
        <w:ind w:left="720"/>
        <w:jc w:val="both"/>
      </w:pPr>
    </w:p>
    <w:p w14:paraId="0F61C83D" w14:textId="77777777" w:rsidR="00383021" w:rsidRDefault="00383021" w:rsidP="00383021">
      <w:pPr>
        <w:pStyle w:val="NoSpacing"/>
        <w:jc w:val="right"/>
        <w:rPr>
          <w:rFonts w:eastAsiaTheme="minorHAnsi"/>
          <w:color w:val="595959" w:themeColor="text1" w:themeTint="A6"/>
          <w:sz w:val="20"/>
          <w:szCs w:val="20"/>
          <w:lang w:val="en-ZA"/>
        </w:rPr>
      </w:pPr>
    </w:p>
    <w:p w14:paraId="569CC4B4" w14:textId="1AA57F6B" w:rsidR="00383021" w:rsidRDefault="00383021" w:rsidP="00383021">
      <w:pPr>
        <w:pStyle w:val="NoSpacing"/>
        <w:rPr>
          <w:color w:val="000000" w:themeColor="text1"/>
          <w:sz w:val="24"/>
          <w:szCs w:val="28"/>
        </w:rPr>
      </w:pPr>
      <w:r w:rsidRPr="00383021">
        <w:rPr>
          <w:color w:val="000000" w:themeColor="text1"/>
          <w:sz w:val="24"/>
          <w:szCs w:val="28"/>
        </w:rPr>
        <w:t xml:space="preserve">As part of the management of stock, there is often a need to adjust the quantity of stock on hand. </w:t>
      </w:r>
      <w:r>
        <w:rPr>
          <w:color w:val="000000" w:themeColor="text1"/>
          <w:sz w:val="24"/>
          <w:szCs w:val="28"/>
        </w:rPr>
        <w:t>Pertaining reasons can be:</w:t>
      </w:r>
    </w:p>
    <w:p w14:paraId="5A15DFA5" w14:textId="1431AA7D" w:rsidR="00383021" w:rsidRDefault="00383021" w:rsidP="00383021">
      <w:pPr>
        <w:pStyle w:val="NoSpacing"/>
        <w:rPr>
          <w:color w:val="000000" w:themeColor="text1"/>
          <w:sz w:val="24"/>
          <w:szCs w:val="28"/>
        </w:rPr>
      </w:pPr>
    </w:p>
    <w:p w14:paraId="50664651" w14:textId="536568D1" w:rsidR="00383021" w:rsidRDefault="00383021" w:rsidP="00383021">
      <w:pPr>
        <w:pStyle w:val="NoSpacing"/>
        <w:numPr>
          <w:ilvl w:val="0"/>
          <w:numId w:val="37"/>
        </w:numPr>
        <w:rPr>
          <w:color w:val="000000" w:themeColor="text1"/>
          <w:sz w:val="24"/>
          <w:szCs w:val="28"/>
        </w:rPr>
      </w:pPr>
      <w:r>
        <w:rPr>
          <w:color w:val="000000" w:themeColor="text1"/>
          <w:sz w:val="24"/>
          <w:szCs w:val="28"/>
        </w:rPr>
        <w:t>Stock missing not found; mis-paced, stolen, damaged etc.</w:t>
      </w:r>
    </w:p>
    <w:p w14:paraId="35816F38" w14:textId="15499F51" w:rsidR="00383021" w:rsidRDefault="00383021" w:rsidP="00383021">
      <w:pPr>
        <w:pStyle w:val="NoSpacing"/>
        <w:numPr>
          <w:ilvl w:val="0"/>
          <w:numId w:val="37"/>
        </w:numPr>
        <w:rPr>
          <w:color w:val="000000" w:themeColor="text1"/>
          <w:sz w:val="24"/>
          <w:szCs w:val="28"/>
        </w:rPr>
      </w:pPr>
      <w:r>
        <w:rPr>
          <w:color w:val="000000" w:themeColor="text1"/>
          <w:sz w:val="24"/>
          <w:szCs w:val="28"/>
        </w:rPr>
        <w:t>Stock found that potentially was written off before</w:t>
      </w:r>
    </w:p>
    <w:p w14:paraId="4471ACEF" w14:textId="3B06CF9D" w:rsidR="00383021" w:rsidRDefault="00383021" w:rsidP="00383021">
      <w:pPr>
        <w:pStyle w:val="NoSpacing"/>
        <w:numPr>
          <w:ilvl w:val="0"/>
          <w:numId w:val="37"/>
        </w:numPr>
        <w:rPr>
          <w:color w:val="000000" w:themeColor="text1"/>
          <w:sz w:val="24"/>
          <w:szCs w:val="28"/>
        </w:rPr>
      </w:pPr>
      <w:r>
        <w:rPr>
          <w:color w:val="000000" w:themeColor="text1"/>
          <w:sz w:val="24"/>
          <w:szCs w:val="28"/>
        </w:rPr>
        <w:t>Post stock take count variance integration and automation will use this functionality to perform a bulk update</w:t>
      </w:r>
    </w:p>
    <w:p w14:paraId="5D7DBF06" w14:textId="77777777" w:rsidR="00383021" w:rsidRDefault="00383021" w:rsidP="00383021">
      <w:pPr>
        <w:pStyle w:val="NoSpacing"/>
        <w:rPr>
          <w:color w:val="000000" w:themeColor="text1"/>
          <w:sz w:val="24"/>
          <w:szCs w:val="28"/>
        </w:rPr>
      </w:pPr>
    </w:p>
    <w:p w14:paraId="767896AC" w14:textId="77777777" w:rsidR="00383021" w:rsidRDefault="00383021" w:rsidP="00383021">
      <w:pPr>
        <w:pStyle w:val="NoSpacing"/>
        <w:rPr>
          <w:color w:val="000000" w:themeColor="text1"/>
          <w:sz w:val="24"/>
          <w:szCs w:val="28"/>
        </w:rPr>
      </w:pPr>
      <w:r w:rsidRPr="00383021">
        <w:rPr>
          <w:color w:val="000000" w:themeColor="text1"/>
          <w:sz w:val="24"/>
          <w:szCs w:val="28"/>
        </w:rPr>
        <w:t xml:space="preserve">Concurrent to this is the need to adjust the average cost </w:t>
      </w:r>
      <w:r>
        <w:rPr>
          <w:color w:val="000000" w:themeColor="text1"/>
          <w:sz w:val="24"/>
          <w:szCs w:val="28"/>
        </w:rPr>
        <w:t>for specific reasons:</w:t>
      </w:r>
    </w:p>
    <w:p w14:paraId="2BAE8C7C" w14:textId="77777777" w:rsidR="00383021" w:rsidRDefault="00383021" w:rsidP="00383021">
      <w:pPr>
        <w:pStyle w:val="NoSpacing"/>
        <w:rPr>
          <w:color w:val="000000" w:themeColor="text1"/>
          <w:sz w:val="24"/>
          <w:szCs w:val="28"/>
        </w:rPr>
      </w:pPr>
    </w:p>
    <w:p w14:paraId="354B8C13" w14:textId="4205E889" w:rsidR="00383021" w:rsidRPr="00383021" w:rsidRDefault="00383021" w:rsidP="00383021">
      <w:pPr>
        <w:pStyle w:val="NoSpacing"/>
        <w:numPr>
          <w:ilvl w:val="0"/>
          <w:numId w:val="38"/>
        </w:numPr>
        <w:rPr>
          <w:color w:val="595959" w:themeColor="text1" w:themeTint="A6"/>
          <w:sz w:val="20"/>
          <w:szCs w:val="20"/>
        </w:rPr>
      </w:pPr>
      <w:r>
        <w:rPr>
          <w:color w:val="000000" w:themeColor="text1"/>
          <w:sz w:val="24"/>
          <w:szCs w:val="28"/>
        </w:rPr>
        <w:t>M</w:t>
      </w:r>
      <w:r w:rsidRPr="00383021">
        <w:rPr>
          <w:color w:val="000000" w:themeColor="text1"/>
          <w:sz w:val="24"/>
          <w:szCs w:val="28"/>
        </w:rPr>
        <w:t xml:space="preserve">ost often to reduce the cost value </w:t>
      </w:r>
      <w:r>
        <w:rPr>
          <w:color w:val="000000" w:themeColor="text1"/>
          <w:sz w:val="24"/>
          <w:szCs w:val="28"/>
        </w:rPr>
        <w:t>so that slow moving stock can be offered on special to turn such items into cash</w:t>
      </w:r>
    </w:p>
    <w:p w14:paraId="77B6B632" w14:textId="7915C293" w:rsidR="00383021" w:rsidRPr="00383021" w:rsidRDefault="00383021" w:rsidP="00383021">
      <w:pPr>
        <w:pStyle w:val="NoSpacing"/>
        <w:numPr>
          <w:ilvl w:val="0"/>
          <w:numId w:val="38"/>
        </w:numPr>
        <w:rPr>
          <w:color w:val="595959" w:themeColor="text1" w:themeTint="A6"/>
          <w:sz w:val="20"/>
          <w:szCs w:val="20"/>
        </w:rPr>
      </w:pPr>
      <w:r>
        <w:rPr>
          <w:color w:val="000000" w:themeColor="text1"/>
          <w:sz w:val="24"/>
          <w:szCs w:val="28"/>
        </w:rPr>
        <w:t>Year-end aged stock can be written off as part of good corporate governance.</w:t>
      </w:r>
    </w:p>
    <w:p w14:paraId="52D68546" w14:textId="197414AB" w:rsidR="00383021" w:rsidRPr="00383021" w:rsidRDefault="00383021" w:rsidP="00383021">
      <w:pPr>
        <w:pStyle w:val="NoSpacing"/>
        <w:numPr>
          <w:ilvl w:val="0"/>
          <w:numId w:val="38"/>
        </w:numPr>
        <w:rPr>
          <w:color w:val="595959" w:themeColor="text1" w:themeTint="A6"/>
          <w:sz w:val="20"/>
          <w:szCs w:val="20"/>
        </w:rPr>
      </w:pPr>
      <w:r>
        <w:rPr>
          <w:color w:val="000000" w:themeColor="text1"/>
          <w:sz w:val="24"/>
          <w:szCs w:val="28"/>
        </w:rPr>
        <w:t>Net realizable value means test may require the value of some stock items to be increased.</w:t>
      </w:r>
    </w:p>
    <w:p w14:paraId="6E071B2C" w14:textId="77777777" w:rsidR="00B00D46" w:rsidRDefault="00B00D46" w:rsidP="00B00D46">
      <w:pPr>
        <w:ind w:left="567"/>
        <w:jc w:val="both"/>
      </w:pPr>
    </w:p>
    <w:p w14:paraId="698B8279" w14:textId="77777777" w:rsidR="00B56AB6" w:rsidRDefault="00B56AB6" w:rsidP="00034D37">
      <w:pPr>
        <w:pStyle w:val="Heading1"/>
        <w:numPr>
          <w:ilvl w:val="0"/>
          <w:numId w:val="16"/>
        </w:numPr>
      </w:pPr>
      <w:bookmarkStart w:id="2" w:name="_Toc2084782"/>
      <w:r>
        <w:t>Audience</w:t>
      </w:r>
      <w:bookmarkEnd w:id="2"/>
    </w:p>
    <w:p w14:paraId="2819496E" w14:textId="6D240F27" w:rsidR="00F5684C" w:rsidRDefault="00383021" w:rsidP="00413E33">
      <w:pPr>
        <w:pStyle w:val="ListParagraph"/>
        <w:numPr>
          <w:ilvl w:val="0"/>
          <w:numId w:val="33"/>
        </w:numPr>
      </w:pPr>
      <w:r>
        <w:t>Stock management</w:t>
      </w:r>
    </w:p>
    <w:p w14:paraId="33B65068" w14:textId="4F486BC3" w:rsidR="002A04BB" w:rsidRDefault="002A04BB" w:rsidP="00413E33">
      <w:pPr>
        <w:pStyle w:val="ListParagraph"/>
        <w:numPr>
          <w:ilvl w:val="0"/>
          <w:numId w:val="33"/>
        </w:numPr>
      </w:pPr>
      <w:r>
        <w:t>Warehouse administration</w:t>
      </w:r>
    </w:p>
    <w:p w14:paraId="285AEC36" w14:textId="2A13CB48" w:rsidR="00383021" w:rsidRDefault="00383021" w:rsidP="00413E33">
      <w:pPr>
        <w:pStyle w:val="ListParagraph"/>
        <w:numPr>
          <w:ilvl w:val="0"/>
          <w:numId w:val="33"/>
        </w:numPr>
      </w:pPr>
      <w:r>
        <w:t>Procurement</w:t>
      </w:r>
    </w:p>
    <w:p w14:paraId="546A53EF" w14:textId="549456E2" w:rsidR="00383021" w:rsidRDefault="00383021" w:rsidP="00413E33">
      <w:pPr>
        <w:pStyle w:val="ListParagraph"/>
        <w:numPr>
          <w:ilvl w:val="0"/>
          <w:numId w:val="33"/>
        </w:numPr>
      </w:pPr>
      <w:r>
        <w:t>Sales</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3" w:name="_Toc2084783"/>
      <w:r>
        <w:t>Objectives</w:t>
      </w:r>
      <w:bookmarkEnd w:id="3"/>
    </w:p>
    <w:p w14:paraId="627D0806" w14:textId="77777777" w:rsidR="002A04BB" w:rsidRDefault="002A04BB" w:rsidP="008F78CC">
      <w:pPr>
        <w:ind w:left="709"/>
        <w:jc w:val="both"/>
      </w:pPr>
    </w:p>
    <w:p w14:paraId="79462A46" w14:textId="5A41B79F" w:rsidR="00B716EF" w:rsidRDefault="0050382B" w:rsidP="00383021">
      <w:pPr>
        <w:ind w:left="567"/>
        <w:jc w:val="both"/>
      </w:pPr>
      <w:r>
        <w:t>The objective is</w:t>
      </w:r>
      <w:r w:rsidR="00383021">
        <w:t xml:space="preserve"> to permit either / or stock quantities and values to be adjusted in a controlled manner.</w:t>
      </w:r>
    </w:p>
    <w:p w14:paraId="262E4394" w14:textId="2D1B6345" w:rsidR="00772A8E" w:rsidRDefault="00772A8E" w:rsidP="00383021">
      <w:pPr>
        <w:ind w:left="567"/>
        <w:jc w:val="both"/>
      </w:pPr>
      <w:r>
        <w:t>The ePart security may dis-allow some users from adjusting the cost value but permit adjustment to quantities</w:t>
      </w:r>
    </w:p>
    <w:p w14:paraId="0EBC08F7" w14:textId="21824766" w:rsidR="00772A8E" w:rsidRDefault="00772A8E" w:rsidP="00383021">
      <w:pPr>
        <w:ind w:left="567"/>
        <w:jc w:val="both"/>
      </w:pPr>
      <w:r>
        <w:t>The adjustments are done at bin level.</w:t>
      </w:r>
      <w:bookmarkStart w:id="4" w:name="_GoBack"/>
      <w:bookmarkEnd w:id="4"/>
    </w:p>
    <w:p w14:paraId="28D607B5" w14:textId="7C6F36CA" w:rsidR="00383021" w:rsidRDefault="00383021" w:rsidP="00383021">
      <w:pPr>
        <w:ind w:left="567"/>
        <w:jc w:val="both"/>
      </w:pPr>
      <w:proofErr w:type="spellStart"/>
      <w:r>
        <w:t>aPart</w:t>
      </w:r>
      <w:proofErr w:type="spellEnd"/>
      <w:r>
        <w:t xml:space="preserve"> permission</w:t>
      </w:r>
      <w:r w:rsidR="00616A3B">
        <w:t>s</w:t>
      </w:r>
      <w:r>
        <w:t xml:space="preserve"> protect against unqualified staff to use this function</w:t>
      </w:r>
    </w:p>
    <w:p w14:paraId="31FAC548" w14:textId="2D4CDFFE" w:rsidR="00616A3B" w:rsidRDefault="00616A3B" w:rsidP="00383021">
      <w:pPr>
        <w:ind w:left="567"/>
        <w:jc w:val="both"/>
      </w:pPr>
      <w:r>
        <w:t>All entries are logged against the logged-on staff for review</w:t>
      </w:r>
    </w:p>
    <w:p w14:paraId="7AFC7CC9" w14:textId="77777777" w:rsidR="00616A3B" w:rsidRDefault="00616A3B" w:rsidP="00383021">
      <w:pPr>
        <w:ind w:left="567"/>
        <w:jc w:val="both"/>
      </w:pPr>
    </w:p>
    <w:p w14:paraId="000763F4" w14:textId="369245AF" w:rsidR="00383021" w:rsidRDefault="00383021" w:rsidP="00383021">
      <w:pPr>
        <w:ind w:left="567"/>
        <w:jc w:val="both"/>
      </w:pPr>
    </w:p>
    <w:p w14:paraId="24880D57" w14:textId="77777777" w:rsidR="00383021" w:rsidRPr="008F78CC" w:rsidRDefault="00383021" w:rsidP="00383021">
      <w:pPr>
        <w:ind w:left="567"/>
        <w:jc w:val="both"/>
      </w:pPr>
    </w:p>
    <w:p w14:paraId="1B8ACFB4" w14:textId="77777777" w:rsidR="00B779A2" w:rsidRPr="009B6DE3" w:rsidRDefault="00B779A2" w:rsidP="00B779A2">
      <w:pPr>
        <w:jc w:val="both"/>
      </w:pPr>
    </w:p>
    <w:p w14:paraId="40E11BF8" w14:textId="6108CC33" w:rsidR="000868A2" w:rsidRPr="00943902" w:rsidRDefault="000868A2" w:rsidP="00450696">
      <w:pPr>
        <w:pStyle w:val="Heading1"/>
        <w:numPr>
          <w:ilvl w:val="0"/>
          <w:numId w:val="16"/>
        </w:numPr>
      </w:pPr>
      <w:bookmarkStart w:id="5" w:name="_Toc2084784"/>
      <w:r>
        <w:lastRenderedPageBreak/>
        <w:t>Database entities and relationships</w:t>
      </w:r>
      <w:bookmarkEnd w:id="5"/>
    </w:p>
    <w:p w14:paraId="16FAD9FB" w14:textId="298EBD49" w:rsidR="003C64DF" w:rsidRDefault="003C64DF" w:rsidP="002A04BB">
      <w:pPr>
        <w:pStyle w:val="Heading1"/>
        <w:ind w:left="567"/>
      </w:pPr>
    </w:p>
    <w:p w14:paraId="17AA7F40" w14:textId="77777777" w:rsidR="004D4FE6" w:rsidRDefault="004D4FE6" w:rsidP="000868A2">
      <w:pPr>
        <w:pStyle w:val="Heading1"/>
        <w:numPr>
          <w:ilvl w:val="0"/>
          <w:numId w:val="16"/>
        </w:numPr>
      </w:pPr>
      <w:bookmarkStart w:id="6" w:name="_Toc2084785"/>
      <w:r>
        <w:t>Programs</w:t>
      </w:r>
      <w:bookmarkEnd w:id="6"/>
    </w:p>
    <w:p w14:paraId="02E08555" w14:textId="77777777" w:rsidR="004D4FE6" w:rsidRDefault="004D4FE6" w:rsidP="000868A2">
      <w:pPr>
        <w:pStyle w:val="Heading1"/>
        <w:numPr>
          <w:ilvl w:val="1"/>
          <w:numId w:val="16"/>
        </w:numPr>
        <w:ind w:left="1276" w:hanging="709"/>
      </w:pPr>
      <w:bookmarkStart w:id="7" w:name="_Toc2084786"/>
      <w:r>
        <w:t>MS Windows Executables</w:t>
      </w:r>
      <w:bookmarkEnd w:id="7"/>
    </w:p>
    <w:tbl>
      <w:tblPr>
        <w:tblStyle w:val="TableGrid"/>
        <w:tblW w:w="0" w:type="auto"/>
        <w:tblInd w:w="846" w:type="dxa"/>
        <w:tblLook w:val="04A0" w:firstRow="1" w:lastRow="0" w:firstColumn="1" w:lastColumn="0" w:noHBand="0" w:noVBand="1"/>
      </w:tblPr>
      <w:tblGrid>
        <w:gridCol w:w="2126"/>
        <w:gridCol w:w="5437"/>
      </w:tblGrid>
      <w:tr w:rsidR="004D4FE6" w:rsidRPr="004D4FE6" w14:paraId="717D772E" w14:textId="77777777" w:rsidTr="0090174E">
        <w:tc>
          <w:tcPr>
            <w:tcW w:w="2126" w:type="dxa"/>
            <w:vAlign w:val="center"/>
          </w:tcPr>
          <w:p w14:paraId="7A67C180" w14:textId="77777777" w:rsidR="004D4FE6" w:rsidRPr="004D4FE6" w:rsidRDefault="004D4FE6" w:rsidP="004D4FE6">
            <w:pPr>
              <w:jc w:val="center"/>
              <w:rPr>
                <w:b/>
              </w:rPr>
            </w:pPr>
            <w:r w:rsidRPr="004D4FE6">
              <w:rPr>
                <w:b/>
              </w:rPr>
              <w:t>Name</w:t>
            </w:r>
          </w:p>
        </w:tc>
        <w:tc>
          <w:tcPr>
            <w:tcW w:w="5437"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90174E">
        <w:tc>
          <w:tcPr>
            <w:tcW w:w="2126" w:type="dxa"/>
            <w:vAlign w:val="center"/>
          </w:tcPr>
          <w:p w14:paraId="75521306" w14:textId="32F3ADED" w:rsidR="004D4FE6" w:rsidRDefault="004D4FE6" w:rsidP="0090174E"/>
        </w:tc>
        <w:tc>
          <w:tcPr>
            <w:tcW w:w="5437" w:type="dxa"/>
            <w:vAlign w:val="center"/>
          </w:tcPr>
          <w:p w14:paraId="68B0BBFF" w14:textId="7D11E7B9" w:rsidR="004D4FE6" w:rsidRDefault="004D4FE6" w:rsidP="004D4FE6"/>
        </w:tc>
      </w:tr>
    </w:tbl>
    <w:p w14:paraId="4698120E" w14:textId="77777777" w:rsidR="004D4FE6" w:rsidRPr="004D4FE6" w:rsidRDefault="004D4FE6" w:rsidP="004D4FE6"/>
    <w:p w14:paraId="52F9895D" w14:textId="77777777" w:rsidR="00F850B0" w:rsidRDefault="004D4FE6" w:rsidP="000868A2">
      <w:pPr>
        <w:pStyle w:val="Heading1"/>
        <w:numPr>
          <w:ilvl w:val="1"/>
          <w:numId w:val="16"/>
        </w:numPr>
        <w:ind w:left="1276" w:hanging="709"/>
      </w:pPr>
      <w:bookmarkStart w:id="8" w:name="_Toc2084787"/>
      <w:r>
        <w:t>SQL Stored Procedure</w:t>
      </w:r>
      <w:r w:rsidR="00F850B0">
        <w:t>s</w:t>
      </w:r>
      <w:bookmarkEnd w:id="8"/>
    </w:p>
    <w:tbl>
      <w:tblPr>
        <w:tblStyle w:val="TableGrid"/>
        <w:tblW w:w="0" w:type="auto"/>
        <w:tblInd w:w="846" w:type="dxa"/>
        <w:tblLook w:val="04A0" w:firstRow="1" w:lastRow="0" w:firstColumn="1" w:lastColumn="0" w:noHBand="0" w:noVBand="1"/>
      </w:tblPr>
      <w:tblGrid>
        <w:gridCol w:w="4176"/>
        <w:gridCol w:w="3994"/>
      </w:tblGrid>
      <w:tr w:rsidR="00F850B0" w:rsidRPr="004D4FE6" w14:paraId="1578D5E4" w14:textId="77777777" w:rsidTr="00F850B0">
        <w:tc>
          <w:tcPr>
            <w:tcW w:w="4176" w:type="dxa"/>
            <w:vAlign w:val="center"/>
          </w:tcPr>
          <w:p w14:paraId="4A178C4D" w14:textId="77777777" w:rsidR="00F850B0" w:rsidRPr="004D4FE6" w:rsidRDefault="00F850B0" w:rsidP="0090174E">
            <w:pPr>
              <w:jc w:val="center"/>
              <w:rPr>
                <w:b/>
              </w:rPr>
            </w:pPr>
            <w:r w:rsidRPr="004D4FE6">
              <w:rPr>
                <w:b/>
              </w:rPr>
              <w:t>Name</w:t>
            </w:r>
          </w:p>
        </w:tc>
        <w:tc>
          <w:tcPr>
            <w:tcW w:w="3994" w:type="dxa"/>
            <w:vAlign w:val="center"/>
          </w:tcPr>
          <w:p w14:paraId="046E45CF" w14:textId="77777777" w:rsidR="00F850B0" w:rsidRPr="004D4FE6" w:rsidRDefault="00F850B0" w:rsidP="00F850B0">
            <w:pPr>
              <w:jc w:val="center"/>
              <w:rPr>
                <w:b/>
              </w:rPr>
            </w:pPr>
            <w:r w:rsidRPr="004D4FE6">
              <w:rPr>
                <w:b/>
              </w:rPr>
              <w:t>Description</w:t>
            </w:r>
          </w:p>
        </w:tc>
      </w:tr>
      <w:tr w:rsidR="00F850B0" w:rsidRPr="00310117" w14:paraId="0E466509" w14:textId="77777777" w:rsidTr="00F850B0">
        <w:tc>
          <w:tcPr>
            <w:tcW w:w="4176" w:type="dxa"/>
            <w:vAlign w:val="center"/>
          </w:tcPr>
          <w:p w14:paraId="57B24E70" w14:textId="23CD702C" w:rsidR="00F850B0" w:rsidRPr="00310117" w:rsidRDefault="00F850B0" w:rsidP="00310117"/>
        </w:tc>
        <w:tc>
          <w:tcPr>
            <w:tcW w:w="3994" w:type="dxa"/>
            <w:vAlign w:val="center"/>
          </w:tcPr>
          <w:p w14:paraId="6E780AE2" w14:textId="4964318B" w:rsidR="00F850B0" w:rsidRPr="00310117" w:rsidRDefault="00F850B0" w:rsidP="00310117"/>
        </w:tc>
      </w:tr>
      <w:tr w:rsidR="00310117" w:rsidRPr="00310117" w14:paraId="57D90D35" w14:textId="77777777" w:rsidTr="00F850B0">
        <w:tc>
          <w:tcPr>
            <w:tcW w:w="4176" w:type="dxa"/>
            <w:vAlign w:val="center"/>
          </w:tcPr>
          <w:p w14:paraId="3D9EB128" w14:textId="2A673FB1" w:rsidR="00310117" w:rsidRPr="00310117" w:rsidRDefault="00310117" w:rsidP="00310117"/>
        </w:tc>
        <w:tc>
          <w:tcPr>
            <w:tcW w:w="3994" w:type="dxa"/>
            <w:vAlign w:val="center"/>
          </w:tcPr>
          <w:p w14:paraId="0BFF2FCA" w14:textId="1B551730" w:rsidR="00310117" w:rsidRPr="00310117" w:rsidRDefault="00310117" w:rsidP="00310117"/>
        </w:tc>
      </w:tr>
      <w:tr w:rsidR="00310117" w:rsidRPr="00310117" w14:paraId="705FFA8B" w14:textId="77777777" w:rsidTr="00F850B0">
        <w:tc>
          <w:tcPr>
            <w:tcW w:w="4176" w:type="dxa"/>
            <w:vAlign w:val="center"/>
          </w:tcPr>
          <w:p w14:paraId="3CDC8644" w14:textId="51D83FED" w:rsidR="00310117" w:rsidRPr="00310117" w:rsidRDefault="00310117" w:rsidP="00310117"/>
        </w:tc>
        <w:tc>
          <w:tcPr>
            <w:tcW w:w="3994" w:type="dxa"/>
            <w:vAlign w:val="center"/>
          </w:tcPr>
          <w:p w14:paraId="7317BAA3" w14:textId="56032611" w:rsidR="00310117" w:rsidRPr="00310117" w:rsidRDefault="00310117" w:rsidP="00310117"/>
        </w:tc>
      </w:tr>
      <w:tr w:rsidR="00310117" w:rsidRPr="00310117" w14:paraId="16F9272A" w14:textId="77777777" w:rsidTr="00F850B0">
        <w:tc>
          <w:tcPr>
            <w:tcW w:w="4176" w:type="dxa"/>
            <w:vAlign w:val="center"/>
          </w:tcPr>
          <w:p w14:paraId="2D1BA61A" w14:textId="17B41CA2" w:rsidR="00310117" w:rsidRPr="00310117" w:rsidRDefault="00310117" w:rsidP="00310117"/>
        </w:tc>
        <w:tc>
          <w:tcPr>
            <w:tcW w:w="3994" w:type="dxa"/>
            <w:vAlign w:val="center"/>
          </w:tcPr>
          <w:p w14:paraId="18BFF3D0" w14:textId="70195A8F" w:rsidR="00310117" w:rsidRPr="00310117" w:rsidRDefault="00310117" w:rsidP="00310117"/>
        </w:tc>
      </w:tr>
      <w:tr w:rsidR="00DD467A" w:rsidRPr="00310117" w14:paraId="72797CD6" w14:textId="77777777" w:rsidTr="00F850B0">
        <w:tc>
          <w:tcPr>
            <w:tcW w:w="4176" w:type="dxa"/>
            <w:vAlign w:val="center"/>
          </w:tcPr>
          <w:p w14:paraId="6F603D5D" w14:textId="6F2A25A2" w:rsidR="00DD467A" w:rsidRDefault="00DD467A" w:rsidP="00310117"/>
        </w:tc>
        <w:tc>
          <w:tcPr>
            <w:tcW w:w="3994" w:type="dxa"/>
            <w:vAlign w:val="center"/>
          </w:tcPr>
          <w:p w14:paraId="5A1F0116" w14:textId="73BB2FEA" w:rsidR="00DD467A" w:rsidRPr="00310117" w:rsidRDefault="00DD467A" w:rsidP="00310117"/>
        </w:tc>
      </w:tr>
      <w:tr w:rsidR="00DD467A" w:rsidRPr="00310117" w14:paraId="4A7EE148" w14:textId="77777777" w:rsidTr="00F850B0">
        <w:tc>
          <w:tcPr>
            <w:tcW w:w="4176" w:type="dxa"/>
            <w:vAlign w:val="center"/>
          </w:tcPr>
          <w:p w14:paraId="39B70166" w14:textId="7C307502" w:rsidR="00DD467A" w:rsidRDefault="00DD467A" w:rsidP="00310117"/>
        </w:tc>
        <w:tc>
          <w:tcPr>
            <w:tcW w:w="3994" w:type="dxa"/>
            <w:vAlign w:val="center"/>
          </w:tcPr>
          <w:p w14:paraId="3CBD7002" w14:textId="3EF29AFB" w:rsidR="00DD467A" w:rsidRPr="00310117" w:rsidRDefault="00DD467A" w:rsidP="00310117"/>
        </w:tc>
      </w:tr>
      <w:tr w:rsidR="00DD467A" w:rsidRPr="00310117" w14:paraId="5F6C816D" w14:textId="77777777" w:rsidTr="00F850B0">
        <w:tc>
          <w:tcPr>
            <w:tcW w:w="4176" w:type="dxa"/>
            <w:vAlign w:val="center"/>
          </w:tcPr>
          <w:p w14:paraId="009557DC" w14:textId="7ADC9F3D" w:rsidR="00DD467A" w:rsidRDefault="00DD467A" w:rsidP="00310117"/>
        </w:tc>
        <w:tc>
          <w:tcPr>
            <w:tcW w:w="3994" w:type="dxa"/>
            <w:vAlign w:val="center"/>
          </w:tcPr>
          <w:p w14:paraId="7C583815" w14:textId="6A05C828" w:rsidR="00DD467A" w:rsidRPr="00310117" w:rsidRDefault="00DD467A" w:rsidP="00563B89"/>
        </w:tc>
      </w:tr>
      <w:tr w:rsidR="00DD467A" w:rsidRPr="00310117" w14:paraId="0B1A3F8D" w14:textId="77777777" w:rsidTr="00F850B0">
        <w:tc>
          <w:tcPr>
            <w:tcW w:w="4176" w:type="dxa"/>
            <w:vAlign w:val="center"/>
          </w:tcPr>
          <w:p w14:paraId="60AE2B75" w14:textId="32EEE591" w:rsidR="00DD467A" w:rsidRDefault="00DD467A" w:rsidP="00310117"/>
        </w:tc>
        <w:tc>
          <w:tcPr>
            <w:tcW w:w="3994" w:type="dxa"/>
            <w:vAlign w:val="center"/>
          </w:tcPr>
          <w:p w14:paraId="14C600D2" w14:textId="7CD5D8E6" w:rsidR="00DD467A" w:rsidRPr="00310117" w:rsidRDefault="00DD467A" w:rsidP="00563B89"/>
        </w:tc>
      </w:tr>
      <w:tr w:rsidR="00DD467A" w:rsidRPr="00310117" w14:paraId="291FEBF6" w14:textId="77777777" w:rsidTr="00F850B0">
        <w:tc>
          <w:tcPr>
            <w:tcW w:w="4176" w:type="dxa"/>
            <w:vAlign w:val="center"/>
          </w:tcPr>
          <w:p w14:paraId="0904ADBD" w14:textId="50C9A4EF" w:rsidR="00DD467A" w:rsidRDefault="00DD467A" w:rsidP="00310117"/>
        </w:tc>
        <w:tc>
          <w:tcPr>
            <w:tcW w:w="3994" w:type="dxa"/>
            <w:vAlign w:val="center"/>
          </w:tcPr>
          <w:p w14:paraId="1389D0E7" w14:textId="11E9C8D1" w:rsidR="00DD467A" w:rsidRPr="00310117" w:rsidRDefault="00DD467A" w:rsidP="0099027B"/>
        </w:tc>
      </w:tr>
      <w:tr w:rsidR="00DD467A" w:rsidRPr="00310117" w14:paraId="5F2AB729" w14:textId="77777777" w:rsidTr="00F850B0">
        <w:tc>
          <w:tcPr>
            <w:tcW w:w="4176" w:type="dxa"/>
            <w:vAlign w:val="center"/>
          </w:tcPr>
          <w:p w14:paraId="48ABFF21" w14:textId="5EF70019" w:rsidR="00DD467A" w:rsidRDefault="00DD467A" w:rsidP="00310117"/>
        </w:tc>
        <w:tc>
          <w:tcPr>
            <w:tcW w:w="3994" w:type="dxa"/>
            <w:vAlign w:val="center"/>
          </w:tcPr>
          <w:p w14:paraId="096768C3" w14:textId="62C948B4" w:rsidR="006C134E" w:rsidRPr="00310117" w:rsidRDefault="006C134E" w:rsidP="00F822C9"/>
        </w:tc>
      </w:tr>
      <w:tr w:rsidR="006C134E" w:rsidRPr="00310117" w14:paraId="76F8F0E2" w14:textId="77777777" w:rsidTr="00F850B0">
        <w:tc>
          <w:tcPr>
            <w:tcW w:w="4176" w:type="dxa"/>
            <w:vAlign w:val="center"/>
          </w:tcPr>
          <w:p w14:paraId="04C19430" w14:textId="55204017" w:rsidR="006C134E" w:rsidRPr="00DD467A" w:rsidRDefault="006C134E" w:rsidP="00310117"/>
        </w:tc>
        <w:tc>
          <w:tcPr>
            <w:tcW w:w="3994" w:type="dxa"/>
            <w:vAlign w:val="center"/>
          </w:tcPr>
          <w:p w14:paraId="115EA552" w14:textId="44CBAFB3" w:rsidR="006C134E" w:rsidRPr="00310117" w:rsidRDefault="006C134E" w:rsidP="006C134E"/>
        </w:tc>
      </w:tr>
      <w:tr w:rsidR="00DD467A" w:rsidRPr="00310117" w14:paraId="28ACD9E6" w14:textId="77777777" w:rsidTr="00F850B0">
        <w:tc>
          <w:tcPr>
            <w:tcW w:w="4176" w:type="dxa"/>
            <w:vAlign w:val="center"/>
          </w:tcPr>
          <w:p w14:paraId="473E13D9" w14:textId="42C2D5DA" w:rsidR="00DD467A" w:rsidRDefault="00DD467A" w:rsidP="00310117"/>
        </w:tc>
        <w:tc>
          <w:tcPr>
            <w:tcW w:w="3994" w:type="dxa"/>
            <w:vAlign w:val="center"/>
          </w:tcPr>
          <w:p w14:paraId="338C4E84" w14:textId="514798EE" w:rsidR="00DD467A" w:rsidRPr="00310117" w:rsidRDefault="00DD467A" w:rsidP="00310117"/>
        </w:tc>
      </w:tr>
      <w:tr w:rsidR="00DD467A" w:rsidRPr="00310117" w14:paraId="5F84A9A9" w14:textId="77777777" w:rsidTr="00F850B0">
        <w:tc>
          <w:tcPr>
            <w:tcW w:w="4176" w:type="dxa"/>
            <w:vAlign w:val="center"/>
          </w:tcPr>
          <w:p w14:paraId="0A300C06" w14:textId="67FD4B0B" w:rsidR="00DD467A" w:rsidRDefault="00DD467A" w:rsidP="00310117"/>
        </w:tc>
        <w:tc>
          <w:tcPr>
            <w:tcW w:w="3994" w:type="dxa"/>
            <w:vAlign w:val="center"/>
          </w:tcPr>
          <w:p w14:paraId="7049EFE2" w14:textId="4792DB8B" w:rsidR="00DD467A" w:rsidRPr="00310117" w:rsidRDefault="00DD467A" w:rsidP="00310117"/>
        </w:tc>
      </w:tr>
      <w:tr w:rsidR="00DD467A" w:rsidRPr="00310117" w14:paraId="47721755" w14:textId="77777777" w:rsidTr="00F850B0">
        <w:tc>
          <w:tcPr>
            <w:tcW w:w="4176" w:type="dxa"/>
            <w:vAlign w:val="center"/>
          </w:tcPr>
          <w:p w14:paraId="7F6D9C45" w14:textId="3771E564" w:rsidR="00DD467A" w:rsidRDefault="00DD467A" w:rsidP="00310117"/>
        </w:tc>
        <w:tc>
          <w:tcPr>
            <w:tcW w:w="3994" w:type="dxa"/>
            <w:vAlign w:val="center"/>
          </w:tcPr>
          <w:p w14:paraId="2B110824" w14:textId="7B34E63E" w:rsidR="00DD467A" w:rsidRPr="00310117" w:rsidRDefault="00DD467A" w:rsidP="00310117"/>
        </w:tc>
      </w:tr>
      <w:tr w:rsidR="00DD467A" w:rsidRPr="00310117" w14:paraId="537F6C17" w14:textId="77777777" w:rsidTr="00F850B0">
        <w:tc>
          <w:tcPr>
            <w:tcW w:w="4176" w:type="dxa"/>
            <w:vAlign w:val="center"/>
          </w:tcPr>
          <w:p w14:paraId="7EF5F1F0" w14:textId="0C7AF070" w:rsidR="00DD467A" w:rsidRDefault="00DD467A" w:rsidP="00310117"/>
        </w:tc>
        <w:tc>
          <w:tcPr>
            <w:tcW w:w="3994" w:type="dxa"/>
            <w:vAlign w:val="center"/>
          </w:tcPr>
          <w:p w14:paraId="3C4F9121" w14:textId="2779F363" w:rsidR="00DD467A" w:rsidRPr="00310117" w:rsidRDefault="00DD467A" w:rsidP="00310117"/>
        </w:tc>
      </w:tr>
      <w:tr w:rsidR="00DD467A" w:rsidRPr="00310117" w14:paraId="641EF545" w14:textId="77777777" w:rsidTr="00F850B0">
        <w:tc>
          <w:tcPr>
            <w:tcW w:w="4176" w:type="dxa"/>
            <w:vAlign w:val="center"/>
          </w:tcPr>
          <w:p w14:paraId="5A6284AC" w14:textId="76E741E8" w:rsidR="00DD467A" w:rsidRDefault="00DD467A" w:rsidP="00310117"/>
        </w:tc>
        <w:tc>
          <w:tcPr>
            <w:tcW w:w="3994" w:type="dxa"/>
            <w:vAlign w:val="center"/>
          </w:tcPr>
          <w:p w14:paraId="10889DEB" w14:textId="6366B980" w:rsidR="00DD467A" w:rsidRPr="00310117" w:rsidRDefault="00DD467A" w:rsidP="00317F39"/>
        </w:tc>
      </w:tr>
      <w:tr w:rsidR="00DD467A" w:rsidRPr="00310117" w14:paraId="5FCE7AB0" w14:textId="77777777" w:rsidTr="00F850B0">
        <w:tc>
          <w:tcPr>
            <w:tcW w:w="4176" w:type="dxa"/>
            <w:vAlign w:val="center"/>
          </w:tcPr>
          <w:p w14:paraId="12B43B0D" w14:textId="275D2C97" w:rsidR="00DD467A" w:rsidRDefault="00DD467A" w:rsidP="00D6737B"/>
        </w:tc>
        <w:tc>
          <w:tcPr>
            <w:tcW w:w="3994" w:type="dxa"/>
            <w:vAlign w:val="center"/>
          </w:tcPr>
          <w:p w14:paraId="274A132D" w14:textId="20D85C64" w:rsidR="00DD467A" w:rsidRPr="00310117" w:rsidRDefault="00DD467A" w:rsidP="00317F39"/>
        </w:tc>
      </w:tr>
      <w:tr w:rsidR="00D6737B" w:rsidRPr="00310117" w14:paraId="57406B5F" w14:textId="77777777" w:rsidTr="00F850B0">
        <w:tc>
          <w:tcPr>
            <w:tcW w:w="4176" w:type="dxa"/>
            <w:vAlign w:val="center"/>
          </w:tcPr>
          <w:p w14:paraId="0F45ADDF" w14:textId="3DC51F20" w:rsidR="00D6737B" w:rsidRDefault="00D6737B" w:rsidP="00D6737B"/>
        </w:tc>
        <w:tc>
          <w:tcPr>
            <w:tcW w:w="3994" w:type="dxa"/>
            <w:vAlign w:val="center"/>
          </w:tcPr>
          <w:p w14:paraId="7F2C081E" w14:textId="3C84628A" w:rsidR="00D6737B" w:rsidRPr="00310117" w:rsidRDefault="00D6737B" w:rsidP="00310117"/>
        </w:tc>
      </w:tr>
      <w:tr w:rsidR="00960743" w:rsidRPr="00310117" w14:paraId="49676AAA" w14:textId="77777777" w:rsidTr="00F850B0">
        <w:tc>
          <w:tcPr>
            <w:tcW w:w="4176" w:type="dxa"/>
            <w:vAlign w:val="center"/>
          </w:tcPr>
          <w:p w14:paraId="5D63FABE" w14:textId="37045689" w:rsidR="00960743" w:rsidRDefault="00960743" w:rsidP="00960743"/>
        </w:tc>
        <w:tc>
          <w:tcPr>
            <w:tcW w:w="3994" w:type="dxa"/>
            <w:vAlign w:val="center"/>
          </w:tcPr>
          <w:p w14:paraId="5F97460E" w14:textId="4E47E40B" w:rsidR="00960743" w:rsidRPr="00310117" w:rsidRDefault="00960743" w:rsidP="00960743"/>
        </w:tc>
      </w:tr>
      <w:tr w:rsidR="00960743" w:rsidRPr="00310117" w14:paraId="35030297" w14:textId="77777777" w:rsidTr="00F850B0">
        <w:tc>
          <w:tcPr>
            <w:tcW w:w="4176" w:type="dxa"/>
            <w:vAlign w:val="center"/>
          </w:tcPr>
          <w:p w14:paraId="1F73E4F6" w14:textId="76B041F5" w:rsidR="00960743" w:rsidRDefault="00960743" w:rsidP="00960743"/>
        </w:tc>
        <w:tc>
          <w:tcPr>
            <w:tcW w:w="3994" w:type="dxa"/>
            <w:vAlign w:val="center"/>
          </w:tcPr>
          <w:p w14:paraId="3C2365BE" w14:textId="3C7885C2" w:rsidR="00960743" w:rsidRPr="00310117" w:rsidRDefault="00960743" w:rsidP="00960743"/>
        </w:tc>
      </w:tr>
      <w:tr w:rsidR="00960743" w:rsidRPr="00310117" w14:paraId="0D56A379" w14:textId="77777777" w:rsidTr="00F850B0">
        <w:tc>
          <w:tcPr>
            <w:tcW w:w="4176" w:type="dxa"/>
            <w:vAlign w:val="center"/>
          </w:tcPr>
          <w:p w14:paraId="4F872928" w14:textId="2CF623B2" w:rsidR="00960743" w:rsidRDefault="00960743" w:rsidP="00960743"/>
        </w:tc>
        <w:tc>
          <w:tcPr>
            <w:tcW w:w="3994" w:type="dxa"/>
            <w:vAlign w:val="center"/>
          </w:tcPr>
          <w:p w14:paraId="0F42B641" w14:textId="62DF5614" w:rsidR="00960743" w:rsidRPr="00310117" w:rsidRDefault="00960743" w:rsidP="00960743"/>
        </w:tc>
      </w:tr>
      <w:tr w:rsidR="00960743" w:rsidRPr="00310117" w14:paraId="3DB23634" w14:textId="77777777" w:rsidTr="00F850B0">
        <w:tc>
          <w:tcPr>
            <w:tcW w:w="4176" w:type="dxa"/>
            <w:vAlign w:val="center"/>
          </w:tcPr>
          <w:p w14:paraId="4FCA13DA" w14:textId="74761DB4" w:rsidR="00960743" w:rsidRPr="00960743" w:rsidRDefault="00960743" w:rsidP="00960743"/>
        </w:tc>
        <w:tc>
          <w:tcPr>
            <w:tcW w:w="3994" w:type="dxa"/>
            <w:vAlign w:val="center"/>
          </w:tcPr>
          <w:p w14:paraId="16686332" w14:textId="79C422C0" w:rsidR="00960743" w:rsidRPr="00310117" w:rsidRDefault="00960743" w:rsidP="00563B89"/>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0868A2">
      <w:pPr>
        <w:pStyle w:val="Heading1"/>
        <w:numPr>
          <w:ilvl w:val="0"/>
          <w:numId w:val="16"/>
        </w:numPr>
      </w:pPr>
      <w:bookmarkStart w:id="9" w:name="_Toc2084788"/>
      <w:r>
        <w:lastRenderedPageBreak/>
        <w:t>Acceptance</w:t>
      </w:r>
      <w:bookmarkEnd w:id="9"/>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E25A7" w14:textId="77777777" w:rsidR="00C2799A" w:rsidRDefault="00C2799A" w:rsidP="005E292E">
      <w:pPr>
        <w:spacing w:after="0" w:line="240" w:lineRule="auto"/>
      </w:pPr>
      <w:r>
        <w:separator/>
      </w:r>
    </w:p>
  </w:endnote>
  <w:endnote w:type="continuationSeparator" w:id="0">
    <w:p w14:paraId="6478D4CC" w14:textId="77777777" w:rsidR="00C2799A" w:rsidRDefault="00C2799A"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0CFB9D3B"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C865BE">
      <w:rPr>
        <w:noProof/>
      </w:rPr>
      <w:t>ReturnsToVendorV1.docx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5B28E" w14:textId="77777777" w:rsidR="00C2799A" w:rsidRDefault="00C2799A" w:rsidP="005E292E">
      <w:pPr>
        <w:spacing w:after="0" w:line="240" w:lineRule="auto"/>
      </w:pPr>
      <w:r>
        <w:separator/>
      </w:r>
    </w:p>
  </w:footnote>
  <w:footnote w:type="continuationSeparator" w:id="0">
    <w:p w14:paraId="3AEA6094" w14:textId="77777777" w:rsidR="00C2799A" w:rsidRDefault="00C2799A"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3BF24445" w:rsidR="006E3EF6" w:rsidRPr="00413E33" w:rsidRDefault="00413E33" w:rsidP="00413E33">
    <w:pPr>
      <w:pStyle w:val="Header"/>
    </w:pPr>
    <w:r w:rsidRPr="00413E33">
      <w:rPr>
        <w:b/>
        <w:sz w:val="18"/>
      </w:rPr>
      <w:t xml:space="preserve">The objective of this document </w:t>
    </w:r>
    <w:r w:rsidR="00C865BE">
      <w:rPr>
        <w:b/>
        <w:sz w:val="18"/>
      </w:rPr>
      <w:t>describes Goods Returned to Vendor process and to highlight to the vendor why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F39DD"/>
    <w:multiLevelType w:val="hybridMultilevel"/>
    <w:tmpl w:val="0310BC76"/>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29"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D272E"/>
    <w:multiLevelType w:val="hybridMultilevel"/>
    <w:tmpl w:val="B46C3C3A"/>
    <w:lvl w:ilvl="0" w:tplc="04360001">
      <w:start w:val="1"/>
      <w:numFmt w:val="bullet"/>
      <w:lvlText w:val=""/>
      <w:lvlJc w:val="left"/>
      <w:pPr>
        <w:ind w:left="180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A3032F"/>
    <w:multiLevelType w:val="hybridMultilevel"/>
    <w:tmpl w:val="B96E3E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4"/>
  </w:num>
  <w:num w:numId="4">
    <w:abstractNumId w:val="17"/>
  </w:num>
  <w:num w:numId="5">
    <w:abstractNumId w:val="2"/>
  </w:num>
  <w:num w:numId="6">
    <w:abstractNumId w:val="33"/>
  </w:num>
  <w:num w:numId="7">
    <w:abstractNumId w:val="34"/>
  </w:num>
  <w:num w:numId="8">
    <w:abstractNumId w:val="7"/>
  </w:num>
  <w:num w:numId="9">
    <w:abstractNumId w:val="12"/>
  </w:num>
  <w:num w:numId="10">
    <w:abstractNumId w:val="22"/>
  </w:num>
  <w:num w:numId="11">
    <w:abstractNumId w:val="6"/>
  </w:num>
  <w:num w:numId="12">
    <w:abstractNumId w:val="29"/>
  </w:num>
  <w:num w:numId="13">
    <w:abstractNumId w:val="36"/>
  </w:num>
  <w:num w:numId="14">
    <w:abstractNumId w:val="13"/>
  </w:num>
  <w:num w:numId="15">
    <w:abstractNumId w:val="8"/>
  </w:num>
  <w:num w:numId="16">
    <w:abstractNumId w:val="16"/>
  </w:num>
  <w:num w:numId="17">
    <w:abstractNumId w:val="0"/>
  </w:num>
  <w:num w:numId="18">
    <w:abstractNumId w:val="10"/>
  </w:num>
  <w:num w:numId="19">
    <w:abstractNumId w:val="14"/>
  </w:num>
  <w:num w:numId="20">
    <w:abstractNumId w:val="11"/>
  </w:num>
  <w:num w:numId="21">
    <w:abstractNumId w:val="35"/>
  </w:num>
  <w:num w:numId="22">
    <w:abstractNumId w:val="18"/>
  </w:num>
  <w:num w:numId="23">
    <w:abstractNumId w:val="5"/>
  </w:num>
  <w:num w:numId="24">
    <w:abstractNumId w:val="26"/>
  </w:num>
  <w:num w:numId="25">
    <w:abstractNumId w:val="32"/>
  </w:num>
  <w:num w:numId="26">
    <w:abstractNumId w:val="9"/>
  </w:num>
  <w:num w:numId="27">
    <w:abstractNumId w:val="30"/>
  </w:num>
  <w:num w:numId="28">
    <w:abstractNumId w:val="27"/>
  </w:num>
  <w:num w:numId="29">
    <w:abstractNumId w:val="1"/>
  </w:num>
  <w:num w:numId="30">
    <w:abstractNumId w:val="25"/>
  </w:num>
  <w:num w:numId="31">
    <w:abstractNumId w:val="19"/>
  </w:num>
  <w:num w:numId="32">
    <w:abstractNumId w:val="23"/>
  </w:num>
  <w:num w:numId="33">
    <w:abstractNumId w:val="3"/>
  </w:num>
  <w:num w:numId="34">
    <w:abstractNumId w:val="20"/>
  </w:num>
  <w:num w:numId="35">
    <w:abstractNumId w:val="21"/>
  </w:num>
  <w:num w:numId="36">
    <w:abstractNumId w:val="31"/>
  </w:num>
  <w:num w:numId="37">
    <w:abstractNumId w:val="37"/>
  </w:num>
  <w:num w:numId="38">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713E"/>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83021"/>
    <w:rsid w:val="00397E67"/>
    <w:rsid w:val="003A0514"/>
    <w:rsid w:val="003A2CBD"/>
    <w:rsid w:val="003A49E9"/>
    <w:rsid w:val="003A520D"/>
    <w:rsid w:val="003A6375"/>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382B"/>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16A3B"/>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2A8E"/>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D5595"/>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8F78CC"/>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0D46"/>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16EF"/>
    <w:rsid w:val="00B7309C"/>
    <w:rsid w:val="00B757D9"/>
    <w:rsid w:val="00B762D6"/>
    <w:rsid w:val="00B779A2"/>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2799A"/>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DDD6E-FE8B-40D9-B674-7D79EC5E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14</cp:revision>
  <cp:lastPrinted>2018-03-22T15:58:00Z</cp:lastPrinted>
  <dcterms:created xsi:type="dcterms:W3CDTF">2018-09-18T08:40:00Z</dcterms:created>
  <dcterms:modified xsi:type="dcterms:W3CDTF">2019-02-26T12:48:00Z</dcterms:modified>
</cp:coreProperties>
</file>