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NOVATECH ASSISTANT</w:t>
      </w:r>
    </w:p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Critérios de Go-Live — Harness de 5 Camadas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para: Jacqueline (Gestora de Entrega) · Papel de apoio: CTO  ·  Demo para a diretoria em 2 semanas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organiza os critérios de go-live do assistente de IA da NovaTech pelas cinco camadas do harness (Tool Orchestration, Verification Loops, Context &amp; Memory, Guardrails, Observability). Cada critério é classificado como Bloqueante (sem isso não vai ao ar) ou Desejável (risco aceito conscientemente, com mitigação explícita). A decisão final de gate é da gestora; este documento é a base de discussão técnica.</w:t>
      </w:r>
    </w:p>
    <w:p>
      <w:pPr>
        <w:spacing w:after="200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Critério de corte usado: bloqueante = risco que se torna dano irreversível, risco físico, ou repetição de um incidente já ocorrido no projeto (os 12% de erro identificados, o módulo de feedback que ignorou o AGENTS.md, e as contradições da PROC-042 v1/v2). Desejável = risco recuperável por uma camada humana já existente no piloto (5 atendentes revisando antes do cliente final) ou por processo paralelo já formal (Jurídico, Comercial).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Camada 1 — Tool Orchestration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Coordenação de ferramentas e agentes: quem decide o quê antes da resposta ser montada.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resposta passa por retrieval antes de completion — nenhuma resposta gerada sem chunks recuperados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isso não existe RAG; existe chatbot alucinando com aparência de RAG.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chunk relevante recuperado → fallback "não encontrado", nunca completion "criativa"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de implementação baixo, risco de embaraço na demo alto — não há motivo pragmático para adiar.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Resolução automática da versão correta da PROC-042 por data do chamado (regra da Seção 5 do documento)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 (escopo reduzido)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precisa de motor genérico de reconciliação — basta filtro simples por data. É o único caso de contradição documental já mapeado e conhecido.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Priorização de POL/PROC/SLA sobre FAQ-Atendimento em caso de empate no retrieval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Regra de ranking, não de arquitetura — poucas horas de trabalho para eliminar fonte que o próprio documento se autodeclara não validada.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Decomposição automática de perguntas multi-domínio em sub-buscas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aceito: resposta pior em pergunta composta. Mitigação: volume baixo no piloto (5 atendentes); atendente pode reformular em partes.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Camada 2 — Verification Loops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Verificação automática de outputs antes de chegarem ao atendente.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output com campos obrigatórios (answer, source_document, source_version, confidence_score, citations[]), rejeição programática se faltar campo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Pré-requisito técnico de todos os demais critérios de verificação — sem ele nada tem o que verificar.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automático quando citations mistura chunks de PROC-042 v1 e v2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Ataca o erro mais documentado nos anexos; checagem de metadado, custo baixo.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Checagem de confidence_score abaixo de threshold em tema sensível → gatilho de HITL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 o mecanismo técnico que viabiliza o HITL da Camada 4 — sem ele, HITL é intenção, não sistema.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Golden queries (golden-queries.json) como checklist manual pré-demo, meta ≥90%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 (formato reduzido)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aceito: sem gate automático de CI, alteração de prompt pode regredir sem detecção imediata. Mitigação: checklist manual pré-demo cobre o piloto; CI full-automatizado fica para depois.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de resposta sourced apenas em FAQ-Atendimento, restrito a carga perigosa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Único cruzamento FAQ + tema crítico com risco de segurança física, não só financeiro.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Mesmo flag estendido a outros temas (carga danificada, seguro, desconto)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aceito: resposta financeira/operacional imprecisa. Mitigação: esses temas já têm encaminhamento humano formal (Jurídico, Comercial) hoje.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Camada 3 — Context &amp; Memory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Manutenção de contexto entre interações e o que deliberadamente não deve persistir.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sensíveis do atendente/cliente não persistem em memória de conversa nem em cache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Já aconteceu uma vez (módulo de feedback do Copilot) — recorrência conhecida, não risco hipotético.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IDs de chunk e versão do documento usados por resposta, disponível para auditoria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Pré-requisito para investigar os 12% de erro já identificados — sem isso não há melhoria contínua possível.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Consistência da versão da PROC-042 dentro da mesma sessão (não alterna v1/v2 entre turnos)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aceito: variação de versão no meio da conversa. Mitigação: atendente humano lê a resposta antes de repassar ao cliente; mudança de valor no meio da conversa é visivelmente estranha e tende a ser capturada.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Memória cross-sessão do tier do cliente (Gold/Silver/Standard)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Ganho de UX sem risco de segurança ou financeiro associado — claramente adiável.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Camada 4 — Guardrails (incluindo Human-in-the-Loop)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Limites que o sistema não pode ultrapassar — e os pontos onde a decisão final é humana, não do modelo.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Ponto de HITL — fluxo concreto (expandido)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Carga perigosa mantém revisão síncrona e bloqueante, por ser o único risco físico do sistema. Tier inexistente e inversão da regra de devolução passam a ter humano no loop também, mas em modo assíncrono de auditoria — sem travar a resposta que o guardrail automático já resolve com alta confiabilidade. Um quarto ponto, o escalonamento de segurança, cobre o caso em que o guardrail automático não consegue classificar com certeza.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600"/>
        <w:gridCol w:w="3200"/>
      </w:tblGrid>
      <w:tr>
        <w:trPr>
          <w:tblHeader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 de HITL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Carga perigosa, baixa confiança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Síncrono, bloqueante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Tema = carga perigosa E confidence_score &lt; 0.7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Resposta retida em fila → revisor (Riscos/Compliance) aprova, corrige ou escala para ramal 4500 → atendente só vê a resposta após decisão humana. SLA interno obrigatório (ex.: 15 min em horário comercial).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Tier inexistente ("Platinum")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Assíncrono, não bloqueante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Guardrail automático detecta e bloqueia a menção ao tier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Resposta corrigida segue ao atendente na hora → caso entra em fila de auditoria diária. Revisor confirma que o guardrail agiu certo e observa padrões (ex.: confusão comercial recorrente).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Inversão de regra de devolução (carga perigosa)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Assíncrono, não bloqueante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Guardrail automático corrige a resposta para "não elegível, contatar ramal 4500"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Resposta corrigida segue ao atendente na hora → caso entra na mesma fila de auditoria diária, junto com o item anterior.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Escalonamento de segurança (novo)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Síncrono, bloqueante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Guardrail automático encontra conflito que não sabe classificar nos dois casos acima (pergunta ambígua, contexto misto)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 do fluxo automático e cai na mesma fila síncrona da carga perigosa — rede de segurança para falha de classificação do guardrail determinístico.</w:t>
            </w:r>
          </w:p>
        </w:tc>
      </w:tr>
    </w:tbl>
    <w:p>
      <w:pPr>
        <w:spacing w:after="150" w:before="25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Demais guardrails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HITL — carga perigosa com baixa confiança (ver fluxo detalhado)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Único ponto do sistema com risco físico, não apenas financeiro ou de imagem — detalhado na seção de HITL.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Guardrails do AGENTS.md validados via CI/lint, não apenas como instrução de prompt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Regra escrita já foi ignorada uma vez (módulo de feedback) — sem enforcement técnico, é esperança, não controle.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schema (Zod) obrigatória em endpoints de entrada/saída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Mesma raiz de risco do item anterior; sem isso o incidente do feedback se repete em qualquer módulo novo.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nunca afirma tier "Platinum" ou SLA fora de Gold/Silver/Standard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Alucinação pura, testável em golden query, custo de correção baixo.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nunca inverte a regra de devolução de carga perigosa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 de interpretação de regra (não de fonte), fácil de testar, potencialmente grave.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"não encontrei" para perguntas fora de cobertura (ex.: frete padrão &lt; 500kg)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Barato de implementar; é o tipo de falha mais visível numa demo para diretoria.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Sugestão automática de encaminhamento (ramal 4500, e-mail sinistros@novatech.com.br) embutida na resposta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 já sabe fazer esse encaminhamento manualmente hoje — automatizar é ganho de eficiência, não de segurança.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Camada 5 — Observability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Visibilidade do que acontece em produção — a evidência de que o harness está funcionando, não só a promessa.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completo por resposta: pergunta, chunks, versão do documento, confidence, se HITL foi acionado, resposta final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 a evidência de que o harness funciona — sem isso, a demo é promessa, não demonstração.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(mesmo que planilha) comparando taxa de erro atual vs. baseline de 12%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diretoria vai perguntar "melhorou quanto" — não ter esse número é pior do que ter um número ruim.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 em tempo real quando resposta mistura chunks PROC-042 v1+v2 (mesmo já bloqueada pelo verification loop)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aceito: quase-erro só é percebido em revisão de log, não no momento. Mitigação: como o verification loop já impede o envio, o dano real é zero; revisão diária do log é suficiente no volume do piloto.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Web completo (painel-web) com séries históricas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 atual do repositório: pastas criadas, zero lógica — menor chance real de ficar pronto em 2 semanas sem sacrificar item bloqueante.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semanal automático de drift nas golden queries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Desejável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Relevante para operação contínua pós-piloto, irrelevante para o gate de 2 semanas.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</w:rPr>
        <w:t xml:space="preserve">Leitura de Conjunto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Distribuição de critérios por camada: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Bloqueantes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Desejáveis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Camada 1 — Tool Orchestration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Automatizar decisões que hoje dependem do LLM decidir sozinho (versão de documento, priorização de fonte).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Camada 2 — Verification Loops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 output é a base; golden queries entram em formato manual reduzido para caber no prazo.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Camada 3 — Context &amp; Memory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Auditoria e dados sensíveis são inegociáveis; conveniência e consistência entre turnos ficam para depois.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Camada 4 — Guardrails (c/ HITL)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Concentra o maior número de bloqueantes — é onde vivem os riscos de segurança física e de recorrência de incidente já provado.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Camada 5 — Observability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essencial é ter dado bruto e um número de erro comparável; painéis e alertas avançados esperam.</w:t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Padrão observado: </w:t>
      </w:r>
      <w:r>
        <w:rPr>
          <w:sz w:val="20"/>
          <w:szCs w:val="20"/>
        </w:rPr>
        <w:t xml:space="preserve">quase todo critério ligado a carga perigosa é bloqueante; quase todo critério ligado a conveniência, histórico de longo prazo ou painel avançado é desejável. Isso não é acaso — é a régua de decisão (risco físico / recorrência de incidente real) sendo aplicada de forma consistente. Se um critério for questionado na reunião de gate, essa é a régua a apontar.</w:t>
      </w:r>
    </w:p>
    <w:p>
      <w:pPr>
        <w:spacing w:after="100" w:before="300"/>
      </w:pPr>
      <w:r>
        <w:rPr>
          <w:b/>
          <w:bCs/>
          <w:color w:val="1F3864"/>
          <w:sz w:val="20"/>
          <w:szCs w:val="20"/>
        </w:rPr>
        <w:t xml:space="preserve">Decisão final: </w:t>
      </w:r>
      <w:r>
        <w:rPr>
          <w:sz w:val="20"/>
          <w:szCs w:val="20"/>
        </w:rPr>
        <w:t xml:space="preserve">esta tabela é insumo técnico. O gate de go-live — o que efetivamente sobe em produção em 2 semanas — é decisão da gestora do projeto.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2026-07-06T21:21:04.856Z</dcterms:created>
  <dcterms:modified xsi:type="dcterms:W3CDTF">2026-07-06T21:21:04.857Z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