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744"/>
          <w:sz w:val="48"/>
          <w:szCs w:val="48"/>
        </w:rPr>
        <w:t xml:space="preserve">NovaTech × DB1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Plano de Discovery</w:t>
      </w:r>
    </w:p>
    <w:p>
      <w:pPr>
        <w:pBdr>
          <w:bottom w:val="single" w:color="1A56A0" w:sz="6" w:space="8"/>
        </w:pBdr>
        <w:spacing w:after="80"/>
        <w:jc w:val="center"/>
      </w:pPr>
      <w:r>
        <w:rPr>
          <w:rFonts w:ascii="Arial" w:cs="Arial" w:eastAsia="Arial" w:hAnsi="Arial"/>
          <w:color w:val="444D56"/>
          <w:sz w:val="26"/>
          <w:szCs w:val="26"/>
        </w:rPr>
        <w:t xml:space="preserve">Assistente de IA para Atendimento — 2 semanas</w:t>
      </w: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Junho/2025  |  Confidencial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Elaborado por: Delivery Manager</w:t>
      </w:r>
    </w:p>
    <w:p>
      <w:pPr>
        <w:spacing w:after="500"/>
      </w:pPr>
    </w:p>
    <w:p>
      <w:r>
        <w:br w:type="page"/>
      </w:r>
    </w:p>
    <w:p>
      <w:pPr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2744"/>
          <w:sz w:val="28"/>
          <w:szCs w:val="28"/>
        </w:rPr>
        <w:t xml:space="preserve">1. Objetivo do Discovery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discovery tem duração de 2 semanas e tem como objetivo produzir os insumos necessários para que o desenvolvimento do assistente comece com base sólida: documentação organizada, escopo validado, arquitetura de RAG definida e critérios de aceite acordados com o cliente.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final do discovery, a equipe deve ter clareza sobre o que o assistente vai responder bem desde o go-live, o que ficará fora do escopo inicial e quais riscos foram mitigados antes do código ser escrito.</w:t>
      </w:r>
    </w:p>
    <w:p>
      <w:pPr>
        <w:spacing w:after="120"/>
      </w:pPr>
    </w:p>
    <w:p>
      <w:pPr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2744"/>
          <w:sz w:val="28"/>
          <w:szCs w:val="28"/>
        </w:rPr>
        <w:t xml:space="preserve">2. Atividades dos Agentes de IA — Fase de Intent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fase de Intent usa agentes de IA para processar a massa documental da NovaTech de forma automatizada, antes das entrevistas humanas. Isso permite que as sessões com os stakeholders sejam focadas em validação e priorização — não em inventário.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Pré-requisito: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 NovaTech precisa fornecer acesso de leitura ao SharePoint e ao Confluence até o Dia 1 da Semana 1. Sem esse acesso, as atividades de intent não podem começar.</w:t>
      </w:r>
    </w:p>
    <w:p>
      <w:pPr>
        <w:spacing w:after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2.1  Catalogação automática da base documental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Varrer os ~800 documentos do SharePoint e ~400 páginas do Confluence e gerar um inventário estruturado: nome, tipo (POL / PROC / SLA / FAQ / planilha), área responsável, data da última modificação e tamanho.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Classificar automaticamente cada documento por domínio temático (frete, devolução, SLA, carga perigosa, compliance, etc.) usando embeddings semânticos.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Identificar documentos sem metadados de versão, sem responsável formal ou sem data de revisão — sinalizando lacunas de governança.</w:t>
      </w:r>
    </w:p>
    <w:p>
      <w:pPr>
        <w:spacing w:after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2.2  Detecção de documentos duplicados e contraditórios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Identificar pares de documentos com alta similaridade semântica que possam representar versões paralelas do mesmo procedimento (ex.: PROC-042 v1 × v2).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cada par ou grupo identificado, gerar um relatório de divergência: quais trechos diferem, em quais seções e qual o impacto potencial para o atendente.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Sinalizar documentos com mesmos temas mas informações numéricas conflitantes (multiplicadores, prazos, valores de SLA).</w:t>
      </w:r>
    </w:p>
    <w:p>
      <w:pPr>
        <w:spacing w:after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2.3  Mapeamento de temas e perguntas frequentes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Analisar os registros de chamados dos últimos 6 meses (se disponibilizados pela NovaTech) para identificar os temas mais consultados pelo time de atendimento.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Cruzar esses temas com a base documental para identificar: temas bem cobertos, temas com cobertura parcial e temas sem nenhum documento correspondente.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Gerar um mapa de cobertura: domínio × documento × nível de cobertura (completo / parcial / ausente).</w:t>
      </w:r>
    </w:p>
    <w:p>
      <w:pPr>
        <w:spacing w:after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2.4  Prototipagem do pipeline RAG (sandbox)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Indexar um subconjunto representativo dos documentos (10–15% da base) em ambiente de sandbox com Azure AI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Rodar um conjunto de perguntas-teste cobrindo cenários positivos, negativos e contraditórios para calibrar o threshold de similaridade inicial.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Gerar relatório de performance preliminar: taxa de recuperação correta, casos de alucinação identificados e recomendações de chunking.</w:t>
      </w:r>
    </w:p>
    <w:p>
      <w:pPr>
        <w:spacing w:after="120"/>
      </w:pPr>
    </w:p>
    <w:p>
      <w:r>
        <w:br w:type="page"/>
      </w:r>
    </w:p>
    <w:p>
      <w:pPr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2744"/>
          <w:sz w:val="28"/>
          <w:szCs w:val="28"/>
        </w:rPr>
        <w:t xml:space="preserve">3. Atividades Humanas no Discovery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atividades humanas são concentradas na segunda metade da Semana 1 e ao longo da Semana 2. Elas dependem dos outputs dos agentes de IA como insumo — o time não chega às entrevistas sem dados, chega com hipóteses para validar.</w:t>
      </w:r>
    </w:p>
    <w:p>
      <w:pPr>
        <w:spacing w:after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3.1  Entrevistas com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Operações (1h30):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Validar o mapa de cobertura gerado pelos agentes — quais documentos são realmente usados no dia a dia?</w:t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Confirmar quem é o responsável formal por cada documento crítico.</w:t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Entender o processo atual de resolução de conflitos entre versões.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 de Atendimento — grupo focal (1h, 4–5 atendentes):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Quais perguntas mais custam tempo hoje? Quais nunca têm resposta clara?</w:t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Testar protótipo de interface do assistente — coletar feedback de usabilidade.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Compliance (45min):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Validar quais documentos do FAQ precisam de revisão formal antes de serem indexados.</w:t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Confirmar se há restrições de acesso a dados sensíveis na base documental.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Diretoria (30min):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Alinhar KPIs e meta de sucesso (apresentar proposta dos 3 critérios).</w:t>
      </w:r>
    </w:p>
    <w:p>
      <w:pPr>
        <w:pStyle w:val="ListParagraph"/>
        <w:numPr>
          <w:ilvl w:val="0"/>
          <w:numId w:val="2"/>
        </w:numPr>
        <w:spacing w:after="80"/>
        <w:ind w:left="10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Confirmar disposição para investir nas primeiras semanas em higienização documental.</w:t>
      </w:r>
    </w:p>
    <w:p>
      <w:pPr>
        <w:spacing w:after="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3.2  Validação e priorização da base documental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Revisar o relatório de divergências gerado pelos agentes com os responsáveis de cada área — para cada conflito identificado, decidir qual versão é vigente.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Priorizar quais domínios documentais entram no escopo do go-live (ex.: frete, devolução, SLA) e quais ficam para uma fase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Validar o mapa de cobertura: confirmar temas sem cobertura que precisam de novos documentos antes da indexação.</w:t>
      </w:r>
    </w:p>
    <w:p>
      <w:pPr>
        <w:spacing w:after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3.3  Definição de arquitetura e critérios de aceite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 Lead + DB1: fechar decisões de arquitetura do pipeline RAG — estratégia de chunking, threshold, re-ranking, metadados de versão.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Delivery Manager + NovaTech: formalizar critérios de aceite do projeto em documento assinado pelas duas partes.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 Lead: dimensionar infraestrutura Azure necessária (Azure AI Search tier, modelo LLM, estimativa de tokens/mês).</w:t>
      </w:r>
    </w:p>
    <w:p>
      <w:pPr>
        <w:spacing w:after="120"/>
      </w:pPr>
    </w:p>
    <w:p>
      <w:r>
        <w:br w:type="page"/>
      </w:r>
    </w:p>
    <w:p>
      <w:pPr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2744"/>
          <w:sz w:val="28"/>
          <w:szCs w:val="28"/>
        </w:rPr>
        <w:t xml:space="preserve">4. Sequência e Dependências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sequência abaixo define o que precisa acontecer antes do quê. Qualquer atraso nas entregas marcadas como bloqueante impacta diretamente o início das etapas seguintes.</w:t>
      </w:r>
    </w:p>
    <w:p>
      <w:pPr>
        <w:spacing w:after="8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500"/>
        <w:gridCol w:w="1720"/>
      </w:tblGrid>
      <w:tr>
        <w:trPr>
          <w:tblHeader/>
        </w:trPr>
        <w:tc>
          <w:tcPr>
            <w:tcW w:type="dxa" w:w="600"/>
            <w:tcBorders>
              <w:top w:val="single" w:color="0F2744" w:sz="1"/>
              <w:left w:val="single" w:color="0F2744" w:sz="1"/>
              <w:bottom w:val="single" w:color="0F2744" w:sz="1"/>
              <w:right w:val="single" w:color="0F2744" w:sz="1"/>
            </w:tcBorders>
            <w:shd w:fill="0F2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2800"/>
            <w:tcBorders>
              <w:top w:val="single" w:color="0F2744" w:sz="1"/>
              <w:left w:val="single" w:color="0F2744" w:sz="1"/>
              <w:bottom w:val="single" w:color="0F2744" w:sz="1"/>
              <w:right w:val="single" w:color="0F2744" w:sz="1"/>
            </w:tcBorders>
            <w:shd w:fill="0F2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2400"/>
            <w:tcBorders>
              <w:top w:val="single" w:color="0F2744" w:sz="1"/>
              <w:left w:val="single" w:color="0F2744" w:sz="1"/>
              <w:bottom w:val="single" w:color="0F2744" w:sz="1"/>
              <w:right w:val="single" w:color="0F2744" w:sz="1"/>
            </w:tcBorders>
            <w:shd w:fill="0F2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  <w:tc>
          <w:tcPr>
            <w:tcW w:type="dxa" w:w="1500"/>
            <w:tcBorders>
              <w:top w:val="single" w:color="0F2744" w:sz="1"/>
              <w:left w:val="single" w:color="0F2744" w:sz="1"/>
              <w:bottom w:val="single" w:color="0F2744" w:sz="1"/>
              <w:right w:val="single" w:color="0F2744" w:sz="1"/>
            </w:tcBorders>
            <w:shd w:fill="0F2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720"/>
            <w:tcBorders>
              <w:top w:val="single" w:color="0F2744" w:sz="1"/>
              <w:left w:val="single" w:color="0F2744" w:sz="1"/>
              <w:bottom w:val="single" w:color="0F2744" w:sz="1"/>
              <w:right w:val="single" w:color="0F2744" w:sz="1"/>
            </w:tcBorders>
            <w:shd w:fill="0F2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Acesso ao SharePoint e Confluence liberado pela NovaTech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— (pré-requisito D1)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NovaTech / TI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8"/>
                <w:szCs w:val="18"/>
              </w:rPr>
              <w:t xml:space="preserve">Humano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Catalogação automática da base (agente IA)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Acesso liberado (1)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DB1 — Agente IA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Agente IA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Detecção de duplicatas e contradições (agente IA)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Catalogação concluída (2)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DB1 — Agente IA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Agente IA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Mapeamento de temas e cobertura (agente IA)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Catalogação concluída (2) + histórico de chamados (NovaTech)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DB1 — Agente IA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Agente IA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Sandbox RAG com subconjunto da base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Catalogação concluída (2)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DB1 — Tech Lead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8"/>
                <w:szCs w:val="18"/>
              </w:rPr>
              <w:t xml:space="preserve">Humano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Entrevistas com Operações e Compliance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Relatório de divergências (3) disponível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DB1 — DM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8"/>
                <w:szCs w:val="18"/>
              </w:rPr>
              <w:t xml:space="preserve">Humano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Grupo focal com time de atendimento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Sandbox disponível para demo (5)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DB1 — DM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8"/>
                <w:szCs w:val="18"/>
              </w:rPr>
              <w:t xml:space="preserve">Humano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Validação e resolução de conflitos documentais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Entrevistas concluídas (6)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NovaTech + DB1 — DM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8"/>
                <w:szCs w:val="18"/>
              </w:rPr>
              <w:t xml:space="preserve">Humano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Definição de arquitetura RAG e infraestrutura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Resultado do sandbox (5) + validação documental (8)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DB1 — Tech Lead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8"/>
                <w:szCs w:val="18"/>
              </w:rPr>
              <w:t xml:space="preserve">Humano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Formalização dos critérios de aceite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Alinhamento com diretoria + arquitetura definida (9)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DB1 — DM + NovaTech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8"/>
                <w:szCs w:val="18"/>
              </w:rPr>
              <w:t xml:space="preserve">Humano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Apresentação de resultados do discovery + kick-off do desenvolvimento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D56"/>
                <w:sz w:val="20"/>
                <w:szCs w:val="20"/>
              </w:rPr>
              <w:t xml:space="preserve">Todos os itens anteriores concluídos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DB1 — DM + TL</w:t>
            </w:r>
          </w:p>
        </w:tc>
        <w:tc>
          <w:tcPr>
            <w:tcW w:type="dxa" w:w="1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20"/>
                <w:sz w:val="18"/>
                <w:szCs w:val="18"/>
              </w:rPr>
              <w:t xml:space="preserve">Humano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1A56A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F2744"/>
          <w:sz w:val="28"/>
          <w:szCs w:val="28"/>
        </w:rPr>
        <w:t xml:space="preserve">5. O Que a NovaTech Precisa Fornecer — e Quando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sucesso do discovery depende de insumos que só a NovaTech pode fornecer. Atrasos nesses itens impactam diretamente o cronograma. A tabela abaixo detalha cada entrega esperada do cliente, com o prazo e o impacto em caso de não cumprimento.</w:t>
      </w:r>
    </w:p>
    <w:p>
      <w:pPr>
        <w:spacing w:after="8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220"/>
      </w:tblGrid>
      <w:tr>
        <w:trPr>
          <w:tblHeader/>
        </w:trPr>
        <w:tc>
          <w:tcPr>
            <w:tcW w:type="dxa" w:w="2600"/>
            <w:tcBorders>
              <w:top w:val="single" w:color="0F2744" w:sz="1"/>
              <w:left w:val="single" w:color="0F2744" w:sz="1"/>
              <w:bottom w:val="single" w:color="0F2744" w:sz="1"/>
              <w:right w:val="single" w:color="0F2744" w:sz="1"/>
            </w:tcBorders>
            <w:shd w:fill="0F2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fornecer</w:t>
            </w:r>
          </w:p>
        </w:tc>
        <w:tc>
          <w:tcPr>
            <w:tcW w:type="dxa" w:w="1600"/>
            <w:tcBorders>
              <w:top w:val="single" w:color="0F2744" w:sz="1"/>
              <w:left w:val="single" w:color="0F2744" w:sz="1"/>
              <w:bottom w:val="single" w:color="0F2744" w:sz="1"/>
              <w:right w:val="single" w:color="0F2744" w:sz="1"/>
            </w:tcBorders>
            <w:shd w:fill="0F2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0F2744" w:sz="1"/>
              <w:left w:val="single" w:color="0F2744" w:sz="1"/>
              <w:bottom w:val="single" w:color="0F2744" w:sz="1"/>
              <w:right w:val="single" w:color="0F2744" w:sz="1"/>
            </w:tcBorders>
            <w:shd w:fill="0F2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3220"/>
            <w:tcBorders>
              <w:top w:val="single" w:color="0F2744" w:sz="1"/>
              <w:left w:val="single" w:color="0F2744" w:sz="1"/>
              <w:bottom w:val="single" w:color="0F2744" w:sz="1"/>
              <w:right w:val="single" w:color="0F2744" w:sz="1"/>
            </w:tcBorders>
            <w:shd w:fill="0F27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se não entregue no prazo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Acesso de leitura ao SharePoint corporativo (credencial de serviço ou token)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Acesso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Dia 1, S1</w:t>
            </w:r>
          </w:p>
        </w:tc>
        <w:tc>
          <w:tcPr>
            <w:tcW w:type="dxa" w:w="32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Bloqueia toda a fase de Intent — agentes não conseguem catalogar nem analisar a base.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Acesso de leitura ao Confluence (token de API ou usuário de serviço)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Acesso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Dia 1, S1</w:t>
            </w:r>
          </w:p>
        </w:tc>
        <w:tc>
          <w:tcPr>
            <w:tcW w:type="dxa" w:w="32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Bloqueia análise das 400 páginas da wiki — cobertura do intent fica incompleta.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Histórico de chamados dos últimos 6 meses (export CSV ou acesso à ferramenta de tickets)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5"/>
                <w:sz w:val="18"/>
                <w:szCs w:val="18"/>
              </w:rPr>
              <w:t xml:space="preserve">Dado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Dia 2, S1</w:t>
            </w:r>
          </w:p>
        </w:tc>
        <w:tc>
          <w:tcPr>
            <w:tcW w:type="dxa" w:w="32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600A"/>
                <w:sz w:val="20"/>
                <w:szCs w:val="20"/>
              </w:rPr>
              <w:t xml:space="preserve">Mapeamento de temas frequentes será baseado apenas na documentação, sem validação por volume real de chamados.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Responsável de Operações disponível para entrevista de 1h30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Pessoa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Dia 3-4, S1</w:t>
            </w:r>
          </w:p>
        </w:tc>
        <w:tc>
          <w:tcPr>
            <w:tcW w:type="dxa" w:w="32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600A"/>
                <w:sz w:val="20"/>
                <w:szCs w:val="20"/>
              </w:rPr>
              <w:t xml:space="preserve">Validação do mapa de cobertura não ocorre — decisões de escopo ficam sem confirmação do cliente.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Responsável de Compliance disponível para entrevista de 45 min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Pessoa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Dia 4-5, S1</w:t>
            </w:r>
          </w:p>
        </w:tc>
        <w:tc>
          <w:tcPr>
            <w:tcW w:type="dxa" w:w="32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600A"/>
                <w:sz w:val="20"/>
                <w:szCs w:val="20"/>
              </w:rPr>
              <w:t xml:space="preserve">Decisão sobre indexação do FAQ fica pendente — risco de indexar conteúdo não validado.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4–5 atendentes disponíveis para grupo focal de 1h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Pessoas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Dia 1-2, S2</w:t>
            </w:r>
          </w:p>
        </w:tc>
        <w:tc>
          <w:tcPr>
            <w:tcW w:type="dxa" w:w="32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600A"/>
                <w:sz w:val="20"/>
                <w:szCs w:val="20"/>
              </w:rPr>
              <w:t xml:space="preserve">Feedback de usabilidade do protótipo não é coletado — critérios de aceite ficam sem perspectiva do usuário final.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Diretor disponível para alinhamento de KPIs (30 min)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Pessoa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Dia 2, S2</w:t>
            </w:r>
          </w:p>
        </w:tc>
        <w:tc>
          <w:tcPr>
            <w:tcW w:type="dxa" w:w="32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Critérios de aceite não podem ser formalizados — kick-off do desenvolvimento fica sem baseline acordado.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Responsável de TI disponível para suporte à configuração do ambiente Azure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4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Pessoa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Dia 3, S2</w:t>
            </w:r>
          </w:p>
        </w:tc>
        <w:tc>
          <w:tcPr>
            <w:tcW w:type="dxa" w:w="32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Provisionamento do Azure AI Services atrasa — infraestrutura do desenvolvimento não estará pronta no kick-off.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Decisão formal sobre quais documentos do FAQ serão validados x excluídos da indexação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600A"/>
                <w:sz w:val="18"/>
                <w:szCs w:val="18"/>
              </w:rPr>
              <w:t xml:space="preserve">Decisão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744"/>
                <w:sz w:val="20"/>
                <w:szCs w:val="20"/>
              </w:rPr>
              <w:t xml:space="preserve">Dia 4, S2</w:t>
            </w:r>
          </w:p>
        </w:tc>
        <w:tc>
          <w:tcPr>
            <w:tcW w:type="dxa" w:w="32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DE8E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Escopo de indexação não pode ser fechado — desenvolvimento inicia sem clareza sobre quais fontes usar.</w:t>
            </w:r>
          </w:p>
        </w:tc>
      </w:tr>
    </w:tbl>
    <w:p>
      <w:pPr>
        <w:spacing w:after="20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Borders>
              <w:top w:val="single" w:color="F0D890" w:sz="1"/>
              <w:left w:val="single" w:color="92600A" w:sz="8"/>
              <w:bottom w:val="single" w:color="F0D890" w:sz="1"/>
              <w:right w:val="single" w:color="F0D890" w:sz="1"/>
            </w:tcBorders>
            <w:shd w:fill="FE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600A"/>
                <w:sz w:val="22"/>
                <w:szCs w:val="22"/>
              </w:rPr>
              <w:t xml:space="preserve">Nota de planejamento: </w:t>
            </w:r>
            <w:r>
              <w:rPr>
                <w:rFonts w:ascii="Arial" w:cs="Arial" w:eastAsia="Arial" w:hAnsi="Arial"/>
                <w:color w:val="5C4500"/>
                <w:sz w:val="22"/>
                <w:szCs w:val="22"/>
              </w:rPr>
              <w:t xml:space="preserve">Os itens marcados com impacto em vermelho são bloqueantes — sua ausência impede o início de atividades subsequentes e compromete o prazo de 2 semanas. Recomenda-se que a Delivery Manager solicite confirmação formal desses compromissos à NovaTech na reunião de kick-off do discovery.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808080"/>
        <w:sz w:val="18"/>
        <w:szCs w:val="18"/>
      </w:rPr>
      <w:t xml:space="preserve">Confidencial — uso interno  |  Junho/2025  |  Página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de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80"/>
    </w:pPr>
    <w:r>
      <w:rPr>
        <w:rFonts w:ascii="Arial" w:cs="Arial" w:eastAsia="Arial" w:hAnsi="Arial"/>
        <w:color w:val="808080"/>
        <w:sz w:val="18"/>
        <w:szCs w:val="18"/>
      </w:rPr>
      <w:t xml:space="preserve">NovaTech × DB1  |  Plano de Discovery — Assistente de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2026-06-04T15:57:58.252Z</dcterms:created>
  <dcterms:modified xsi:type="dcterms:W3CDTF">2026-06-04T15:57:58.272Z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