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2.4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2026-04-21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OI-14).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(14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(OI-01)</w:t>
            </w:r>
          </w:p>
        </w:tc>
        <w:tc>
          <w:tcPr/>
          <w:p>
            <w:pPr>
              <w:pStyle w:val="Compact"/>
            </w:pPr>
            <w:r>
              <w:t xml:space="preserve">3 (OI-02, OI-05, OI-07)</w:t>
            </w:r>
          </w:p>
        </w:tc>
        <w:tc>
          <w:tcPr/>
          <w:p>
            <w:pPr>
              <w:pStyle w:val="Compact"/>
            </w:pPr>
            <w:r>
              <w:t xml:space="preserve">1 (OI-13)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(OI-03, OI-06, OI-09)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(OI-04, OI-08, OI-12)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(OI-14)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(UJ-01)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 (UJ-04, 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33 items (14 Part A + 19 Part B). 8 resolved, 9 in review, 15 open, 1 superseded.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6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9485bd7a504369c4ca63893b920a0c748ef2685"/>
    <w:p>
      <w:pPr>
        <w:pStyle w:val="Heading3"/>
      </w:pPr>
      <w:r>
        <w:t xml:space="preserve">OI-02 — Weight-based container closure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5f8ed9f63d5a4cd5994417e89f3b1dce899c71f"/>
    <w:p>
      <w:pPr>
        <w:pStyle w:val="Heading3"/>
      </w:pPr>
      <w:r>
        <w:t xml:space="preserve">OI-04 — Vision system conflict resolution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r>
        <w:pict>
          <v:rect style="width:0;height:1.5pt" o:hralign="center" o:hrstd="t" o:hr="t"/>
        </w:pict>
      </w:r>
    </w:p>
    <w:bookmarkEnd w:id="15"/>
    <w:bookmarkStart w:id="16" w:name="X41d951f1d0bcc69c88be575d7361361f5de0c0a"/>
    <w:p>
      <w:pPr>
        <w:pStyle w:val="Heading3"/>
      </w:pPr>
      <w:r>
        <w:t xml:space="preserve">OI-05 — LOT merge business rules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oi-07-work-order-scope-in-review-revised"/>
    <w:p>
      <w:pPr>
        <w:pStyle w:val="Heading3"/>
      </w:pPr>
      <w:r>
        <w:t xml:space="preserve">OI-07 — Work order scope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MVP-lite</w:t>
      </w:r>
      <w:r>
        <w:t xml:space="preserve"> </w:t>
      </w:r>
      <w:r>
        <w:rPr>
          <w:b/>
          <w:bCs/>
        </w:rPr>
        <w:t xml:space="preserve">with three explicit work-order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 WO</w:t>
      </w:r>
      <w:r>
        <w:t xml:space="preserve"> </w:t>
      </w:r>
      <w:r>
        <w:t xml:space="preserve">— production work, auto-generated on LOT start, invisible to operators (existing MVP-lite story).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Maintenance WO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targets a Tool</w:t>
      </w:r>
      <w:r>
        <w:t xml:space="preserve"> </w:t>
      </w:r>
      <w:r>
        <w:t xml:space="preserve">(couples to Phase B Tool Management). Has its own engine per MPP; needs clarification from Ben on lifecycle, scheduling, and integration with the maintenance team’s existing tooling.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Recipe WO</w:t>
      </w:r>
      <w:r>
        <w:t xml:space="preserve"> </w:t>
      </w:r>
      <w:r>
        <w:t xml:space="preserve">— hidden from the operator (recipe / configuration context).</w:t>
      </w:r>
    </w:p>
    <w:p>
      <w:pPr>
        <w:pStyle w:val="BodyText"/>
      </w:pPr>
      <w:r>
        <w:t xml:space="preserve">Data model adds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code table (Demand / Maintenance / Recipe) and a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to support Maintenance. Ben owes the maintenance-engine scope before Phase G (SQL) can proceed. FDS §6.10 rewrite in Phase D.</w:t>
      </w:r>
    </w:p>
    <w:p>
      <w:r>
        <w:pict>
          <v:rect style="width:0;height:1.5pt" o:hralign="center" o:hrstd="t" o:hr="t"/>
        </w:pict>
      </w:r>
    </w:p>
    <w:bookmarkEnd w:id="18"/>
    <w:bookmarkStart w:id="19" w:name="Xc4b17e5dbe26ba0c3f44c6298b91ac5f0b2f288"/>
    <w:p>
      <w:pPr>
        <w:pStyle w:val="Heading3"/>
      </w:pPr>
      <w:r>
        <w:t xml:space="preserve">OI-08 — Terminal architecture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r>
        <w:pict>
          <v:rect style="width:0;height:1.5pt" o:hralign="center" o:hrstd="t" o:hr="t"/>
        </w:pict>
      </w:r>
    </w:p>
    <w:bookmarkEnd w:id="19"/>
    <w:bookmarkStart w:id="20" w:name="Xf3080da3cc2a0b52bfb4caf74a19a0db5419b2c"/>
    <w:p>
      <w:pPr>
        <w:pStyle w:val="Heading3"/>
      </w:pPr>
      <w:r>
        <w:t xml:space="preserve">OI-09 — Multi-part lines &amp; sublots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Mixed containers? Part-at-a-time?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Meeting notes revealed a</w:t>
      </w:r>
      <w:r>
        <w:t xml:space="preserve"> </w:t>
      </w:r>
      <w:r>
        <w:rPr>
          <w:b/>
          <w:bCs/>
        </w:rPr>
        <w:t xml:space="preserve">sublot pattern</w:t>
      </w:r>
      <w:r>
        <w:t xml:space="preserve"> </w:t>
      </w:r>
      <w:r>
        <w:t xml:space="preserve">that needs explicit treatment:</w:t>
      </w:r>
      <w:r>
        <w:t xml:space="preserve"> </w:t>
      </w:r>
      <w:r>
        <w:t xml:space="preserve">- Each</w:t>
      </w:r>
      <w:r>
        <w:t xml:space="preserve"> </w:t>
      </w:r>
      <w:r>
        <w:rPr>
          <w:b/>
          <w:bCs/>
        </w:rPr>
        <w:t xml:space="preserve">cavity can produce a distinct lot simultaneously</w:t>
      </w:r>
      <w:r>
        <w:t xml:space="preserve"> </w:t>
      </w:r>
      <w:r>
        <w:t xml:space="preserve">(not contradictory to</w:t>
      </w:r>
      <w:r>
        <w:t xml:space="preserve"> </w:t>
      </w:r>
      <w:r>
        <w:t xml:space="preserve">“one part at a time”</w:t>
      </w:r>
      <w:r>
        <w:t xml:space="preserve"> </w:t>
      </w:r>
      <w:r>
        <w:t xml:space="preserve">because it’s the same part number from different cavities).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baskets are broken down from a parent lot into sublots.</w:t>
      </w:r>
      <w:r>
        <w:t xml:space="preserve"> </w:t>
      </w:r>
      <w:r>
        <w:t xml:space="preserve">Each sublot has its own label with a parent-lot reference and persists through the process.</w:t>
      </w:r>
    </w:p>
    <w:p>
      <w:pPr>
        <w:pStyle w:val="BodyText"/>
      </w:pPr>
      <w:r>
        <w:t xml:space="preserve">Schema impact: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adjacency-list parent FK likely already supports this (parent</w:t>
      </w:r>
      <w:r>
        <w:t xml:space="preserve"> </w:t>
      </w:r>
      <w:r>
        <w:rPr>
          <w:rStyle w:val="VerbatimChar"/>
        </w:rPr>
        <w:t xml:space="preserve">Lot.Id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), but the</w:t>
      </w:r>
      <w:r>
        <w:t xml:space="preserve"> </w:t>
      </w:r>
      <w:r>
        <w:rPr>
          <w:b/>
          <w:bCs/>
        </w:rPr>
        <w:t xml:space="preserve">label pattern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sublot workflows</w:t>
      </w:r>
      <w:r>
        <w:t xml:space="preserve"> </w:t>
      </w:r>
      <w:r>
        <w:t xml:space="preserve">are new — label printing and sublot-aware scan-in flows need explicit journey coverage. Work lands in Phase D (FDS §5.4 sublot addenda) and Phase E (Plant Floor phased plan sublot steps).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2299ebd86f0d016dd9bd786a4c7d507750c5a3c"/>
    <w:p>
      <w:pPr>
        <w:pStyle w:val="Heading3"/>
      </w:pPr>
      <w:r>
        <w:t xml:space="preserve">OI-11 — Part identity change at Casting → Trim Shop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 — cleanest from a data-model perspective.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Proposed direction (pending confirmation):</w:t>
      </w:r>
      <w:r>
        <w:t xml:space="preserve"> </w:t>
      </w:r>
      <w:r>
        <w:t xml:space="preserve">Option (a) — explicit transform table. Keeps genealogy clean and supports querying</w:t>
      </w:r>
      <w:r>
        <w:t xml:space="preserve"> </w:t>
      </w:r>
      <w:r>
        <w:t xml:space="preserve">“which Casting lot produced this Trim lot”</w:t>
      </w:r>
      <w:r>
        <w:t xml:space="preserve"> </w:t>
      </w:r>
      <w:r>
        <w:t xml:space="preserve">in one join. Will be designed in Phase E.</w:t>
      </w:r>
    </w:p>
    <w:p>
      <w:r>
        <w:pict>
          <v:rect style="width:0;height:1.5pt" o:hralign="center" o:hrstd="t" o:hr="t"/>
        </w:pict>
      </w:r>
    </w:p>
    <w:bookmarkEnd w:id="22"/>
    <w:bookmarkStart w:id="23" w:name="oi-12-lineside-inventory-caps-open-new"/>
    <w:p>
      <w:pPr>
        <w:pStyle w:val="Heading3"/>
      </w:pPr>
      <w:r>
        <w:t xml:space="preserve">OI-12 — Lineside inventory caps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r>
        <w:pict>
          <v:rect style="width:0;height:1.5pt" o:hralign="center" o:hrstd="t" o:hr="t"/>
        </w:pict>
      </w:r>
    </w:p>
    <w:bookmarkEnd w:id="23"/>
    <w:bookmarkStart w:id="24" w:name="oi-13-bom-source-system-open-new-high"/>
    <w:p>
      <w:pPr>
        <w:pStyle w:val="Heading3"/>
      </w:pPr>
      <w:r>
        <w:t xml:space="preserve">OI-13 — BOM source system — ⬜ Open (new, HIGH)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r>
        <w:pict>
          <v:rect style="width:0;height:1.5pt" o:hralign="center" o:hrstd="t" o:hr="t"/>
        </w:pict>
      </w:r>
    </w:p>
    <w:bookmarkEnd w:id="24"/>
    <w:bookmarkStart w:id="25" w:name="X7c398671ff3f1fb27e28c38d870e57539340f0b"/>
    <w:p>
      <w:pPr>
        <w:pStyle w:val="Heading3"/>
      </w:pPr>
      <w:r>
        <w:t xml:space="preserve">OI-14 — Admin remove-item capability — ⬜ Open (new, LOW)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7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27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27"/>
    <w:bookmarkStart w:id="28" w:name="Xd97e8fc10c0b2d99c34dbc3b3584f031412604c"/>
    <w:p>
      <w:pPr>
        <w:pStyle w:val="Heading3"/>
      </w:pPr>
      <w:r>
        <w:t xml:space="preserve">UJ-02 — LOT creation flow at Die Cast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r>
        <w:pict>
          <v:rect style="width:0;height:1.5pt" o:hralign="center" o:hrstd="t" o:hr="t"/>
        </w:pict>
      </w:r>
    </w:p>
    <w:bookmarkEnd w:id="28"/>
    <w:bookmarkStart w:id="29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29"/>
    <w:bookmarkStart w:id="30" w:name="X37398d287e0e798f50efcb53936e746b81d320b"/>
    <w:p>
      <w:pPr>
        <w:pStyle w:val="Heading3"/>
      </w:pPr>
      <w:r>
        <w:t xml:space="preserve">UJ-04 — Container lifecycle on non-serialized lines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r>
        <w:pict>
          <v:rect style="width:0;height:1.5pt" o:hralign="center" o:hrstd="t" o:hr="t"/>
        </w:pict>
      </w:r>
    </w:p>
    <w:bookmarkEnd w:id="30"/>
    <w:bookmarkStart w:id="31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31"/>
    <w:bookmarkStart w:id="32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32"/>
    <w:bookmarkStart w:id="33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33"/>
    <w:bookmarkStart w:id="34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34"/>
    <w:bookmarkStart w:id="35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35"/>
    <w:bookmarkStart w:id="36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36"/>
    <w:bookmarkStart w:id="37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37"/>
    <w:bookmarkStart w:id="38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38"/>
    <w:bookmarkStart w:id="39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9"/>
    <w:bookmarkStart w:id="40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40"/>
    <w:bookmarkStart w:id="41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41"/>
    <w:bookmarkStart w:id="42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42"/>
    <w:bookmarkStart w:id="43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43"/>
    <w:bookmarkStart w:id="44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44"/>
    <w:bookmarkStart w:id="45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45"/>
    <w:bookmarkStart w:id="46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1"/>
        </w:numPr>
      </w:pPr>
      <w:r>
        <w:t xml:space="preserve">The 2026-04-20 MPP review driving this revision’s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</w:t>
      </w:r>
    </w:p>
    <w:p>
      <w:pPr>
        <w:pStyle w:val="Compact"/>
        <w:numPr>
          <w:ilvl w:val="0"/>
          <w:numId w:val="1001"/>
        </w:numPr>
      </w:pPr>
      <w:r>
        <w:t xml:space="preserve">Phase A (this register refresh) is the first deliverable in the multi-session refactor. Phase B (Tool Management design spec) is the next substantive piece; see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for the open design questions.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2026-04-21T18:20:44Z</dcterms:created>
  <dcterms:modified xsi:type="dcterms:W3CDTF">2026-04-21T18:20:44Z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