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mpp-mes-data-model-reference"/>
    <w:p>
      <w:pPr>
        <w:pStyle w:val="Heading1"/>
      </w:pPr>
      <w:r>
        <w:t xml:space="preserve">MPP MES — Data Model Reference</w:t>
      </w:r>
    </w:p>
    <w:p>
      <w:pPr>
        <w:pStyle w:val="FirstParagraph"/>
      </w:pPr>
      <w:r>
        <w:rPr>
          <w:b/>
          <w:bCs/>
        </w:rPr>
        <w:t xml:space="preserve">Version:</w:t>
      </w:r>
      <w:r>
        <w:t xml:space="preserve"> </w:t>
      </w:r>
      <w:r>
        <w:t xml:space="preserve">Working draft</w:t>
      </w:r>
      <w:r>
        <w:t xml:space="preserve"> </w:t>
      </w:r>
      <w:r>
        <w:rPr>
          <w:b/>
          <w:bCs/>
        </w:rPr>
        <w:t xml:space="preserve">Schemas:</w:t>
      </w:r>
      <w:r>
        <w:t xml:space="preserve"> </w:t>
      </w:r>
      <w:r>
        <w:t xml:space="preserve">7 |</w:t>
      </w:r>
      <w:r>
        <w:t xml:space="preserve"> </w:t>
      </w:r>
      <w:r>
        <w:rPr>
          <w:b/>
          <w:bCs/>
        </w:rPr>
        <w:t xml:space="preserve">Tables:</w:t>
      </w:r>
      <w:r>
        <w:t xml:space="preserve"> </w:t>
      </w:r>
      <w:r>
        <w:t xml:space="preserve">~50</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p>
            <w:pPr>
              <w:pStyle w:val="Compact"/>
            </w:pPr>
            <w:r>
              <w:t xml:space="preserve">0.4.1</w:t>
            </w:r>
          </w:p>
        </w:tc>
        <w:tc>
          <w:tcPr/>
          <w:p>
            <w:pPr>
              <w:pStyle w:val="Compact"/>
            </w:pPr>
            <w:r>
              <w:t xml:space="preserve">2026-04-10</w:t>
            </w:r>
          </w:p>
        </w:tc>
        <w:tc>
          <w:tcPr/>
          <w:p>
            <w:pPr>
              <w:pStyle w:val="Compact"/>
            </w:pPr>
            <w:r>
              <w:t xml:space="preserve">Blue Ridge Automation</w:t>
            </w:r>
          </w:p>
        </w:tc>
        <w:tc>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p>
            <w:pPr>
              <w:pStyle w:val="Compact"/>
            </w:pPr>
            <w:r>
              <w:t xml:space="preserve">0.5.1</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shd w:val="clear" w:color="auto" w:fill="F2F2F2"/>
          </w:tcPr>
          <w:tcPr/>
          <w:p>
            <w:pPr>
              <w:pStyle w:val="Compact"/>
            </w:pPr>
            <w:r>
              <w:t xml:space="preserve">0.6</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p>
            <w:pPr>
              <w:pStyle w:val="Compact"/>
            </w:pPr>
            <w:r>
              <w:t xml:space="preserve">0.7</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All enum and status values are code-table backed with FK — no free-text enums, no magic integers</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1"/>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NumberOfCavities</w:t>
      </w:r>
      <w:r>
        <w:t xml:space="preserve">,</w:t>
      </w:r>
      <w:r>
        <w:t xml:space="preserve"> </w:t>
      </w:r>
      <w:r>
        <w:rPr>
          <w:rStyle w:val="VerbatimChar"/>
        </w:rPr>
        <w:t xml:space="preserve">RefCycleTimeSec</w:t>
      </w:r>
      <w:r>
        <w:t xml:space="preserve">. Different definitions carry different attribute sets.</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w:t>
      </w:r>
      <w:r>
        <w:t xml:space="preserve"> </w:t>
      </w:r>
      <w:r>
        <w:t xml:space="preserve">Terminals are shared, not 1:1 with machines. Operators scan a machine barcode/QR code as the first step of any interaction.</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bookmarkEnd w:id="17"/>
    <w:bookmarkStart w:id="18" w:name="appuser"/>
    <w:p>
      <w:pPr>
        <w:pStyle w:val="Heading3"/>
      </w:pPr>
      <w:r>
        <w:t xml:space="preserve">AppUser</w:t>
      </w:r>
    </w:p>
    <w:p>
      <w:pPr>
        <w:pStyle w:val="FirstParagraph"/>
      </w:pPr>
      <w:r>
        <w:t xml:space="preserve">MES users backed by Active Directory. Roles managed in Ignition.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AdAccount</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r>
              <w:t xml:space="preserve">Active Directory identity</w:t>
            </w:r>
          </w:p>
        </w:tc>
      </w:tr>
      <w:tr>
        <w:tc>
          <w:tcPr/>
          <w:p>
            <w:pPr>
              <w:pStyle w:val="Compact"/>
            </w:pPr>
            <w:r>
              <w:t xml:space="preserve">DisplayName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ClockNumber</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t xml:space="preserve">Shop-floor identification</w:t>
            </w:r>
          </w:p>
        </w:tc>
      </w:tr>
      <w:tr>
        <w:tc>
          <w:tcPr/>
          <w:p>
            <w:pPr>
              <w:pStyle w:val="Compact"/>
            </w:pPr>
            <w:r>
              <w:t xml:space="preserve">PinHash</w:t>
            </w:r>
          </w:p>
        </w:tc>
        <w:tc>
          <w:tcPr/>
          <w:p>
            <w:pPr>
              <w:pStyle w:val="Compact"/>
            </w:pPr>
            <w:r>
              <w:t xml:space="preserve">NVARCHAR(255)</w:t>
            </w:r>
          </w:p>
        </w:tc>
        <w:tc>
          <w:tcPr/>
          <w:p>
            <w:pPr>
              <w:pStyle w:val="Compact"/>
            </w:pPr>
            <w:r>
              <w:t xml:space="preserve">NULL</w:t>
            </w:r>
          </w:p>
        </w:tc>
        <w:tc>
          <w:tcPr/>
          <w:p>
            <w:pPr>
              <w:pStyle w:val="Compact"/>
            </w:pPr>
            <w:r>
              <w:t xml:space="preserve">Hashed PIN for terminal auth</w:t>
            </w:r>
          </w:p>
        </w:tc>
      </w:tr>
      <w:tr>
        <w:tc>
          <w:tcPr>
            <w:shd w:val="clear" w:color="auto" w:fill="F2F2F2"/>
          </w:tcPr>
          <w:tcPr/>
          <w:p>
            <w:pPr>
              <w:pStyle w:val="Compact"/>
            </w:pPr>
            <w:r>
              <w:t xml:space="preserve">IgnitionRole</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References Ignition’s internal role config</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18"/>
    <w:bookmarkEnd w:id="19"/>
    <w:bookmarkStart w:id="33"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t xml:space="preserve">Reasonability check ceiling</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Uom.Id, NOT NULL</w:t>
            </w:r>
          </w:p>
        </w:tc>
        <w:tc>
          <w:tcPr>
            <w:shd w:val="clear" w:color="auto" w:fill="F2F2F2"/>
          </w:tcPr>
          <w:tcPr/>
          <w:p>
            <w:pPr>
              <w:pStyle w:val="Compact"/>
            </w:pPr>
            <w:r>
              <w:t xml:space="preserve">Counting UOM</w:t>
            </w:r>
          </w:p>
        </w:tc>
      </w:tr>
      <w:tr>
        <w:tc>
          <w:tcPr/>
          <w:p>
            <w:pPr>
              <w:pStyle w:val="Compact"/>
            </w:pPr>
            <w:r>
              <w:t xml:space="preserve">UnitWeight</w:t>
            </w:r>
          </w:p>
        </w:tc>
        <w:tc>
          <w:tcPr/>
          <w:p>
            <w:pPr>
              <w:pStyle w:val="Compact"/>
            </w:pPr>
            <w:r>
              <w:t xml:space="preserve">DECIMAL(10,4)</w:t>
            </w:r>
          </w:p>
        </w:tc>
        <w:tc>
          <w:tcPr/>
          <w:p>
            <w:pPr>
              <w:pStyle w:val="Compact"/>
            </w:pPr>
            <w:r>
              <w:t xml:space="preserve">NULL</w:t>
            </w:r>
          </w:p>
        </w:tc>
        <w:tc>
          <w:tcPr/>
          <w:p>
            <w:pPr>
              <w:pStyle w:val="Compact"/>
            </w:pPr>
            <w:r>
              <w:t xml:space="preserve">Weight per piece</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Uom.Id, NULL</w:t>
            </w:r>
          </w:p>
        </w:tc>
        <w:tc>
          <w:tcPr>
            <w:shd w:val="clear" w:color="auto" w:fill="F2F2F2"/>
          </w:tcPr>
          <w:tcPr/>
          <w:p>
            <w:pPr>
              <w:pStyle w:val="Compact"/>
            </w:pPr>
            <w:r>
              <w:t xml:space="preserve">Weight UOM</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2"/>
    <w:bookmarkStart w:id="23" w:name="bom"/>
    <w:p>
      <w:pPr>
        <w:pStyle w:val="Heading3"/>
      </w:pPr>
      <w:r>
        <w:t xml:space="preserve">Bom</w:t>
      </w:r>
    </w:p>
    <w:p>
      <w:pPr>
        <w:pStyle w:val="FirstParagraph"/>
      </w:pPr>
      <w:r>
        <w:t xml:space="preserve">Versioned bill of materials header.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Code</w:t>
            </w:r>
          </w:p>
        </w:tc>
        <w:tc>
          <w:tcPr/>
          <w:p>
            <w:pPr>
              <w:pStyle w:val="Compact"/>
            </w:pPr>
            <w:r>
              <w:t xml:space="preserve">NVARCHAR(20)</w:t>
            </w:r>
          </w:p>
        </w:tc>
        <w:tc>
          <w:tcPr/>
          <w:p>
            <w:pPr>
              <w:pStyle w:val="Compact"/>
            </w:pPr>
            <w:r>
              <w:t xml:space="preserve">NOT NULL, UNIQUE</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7"/>
    <w:bookmarkStart w:id="28"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itemlocation"/>
    <w:p>
      <w:pPr>
        <w:pStyle w:val="Heading3"/>
      </w:pPr>
      <w:r>
        <w:t xml:space="preserve">ItemLocation</w:t>
      </w:r>
    </w:p>
    <w:p>
      <w:pPr>
        <w:pStyle w:val="FirstParagraph"/>
      </w:pPr>
      <w:r>
        <w:t xml:space="preserve">Part-to-location eligibility (which parts can run on which machines).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Machine or work cell</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0"/>
    <w:bookmarkStart w:id="31" w:name="containerconfig"/>
    <w:p>
      <w:pPr>
        <w:pStyle w:val="Heading3"/>
      </w:pPr>
      <w:r>
        <w:t xml:space="preserve">ContainerConfig</w:t>
      </w:r>
    </w:p>
    <w:p>
      <w:pPr>
        <w:pStyle w:val="FirstParagraph"/>
      </w:pPr>
      <w:r>
        <w:t xml:space="preserve">Honda-specified packing rules per product.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DunnageCode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NVARCHAR(50)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1"/>
    <w:bookmarkStart w:id="32" w:name="known-gap-tool-life-tracking"/>
    <w:p>
      <w:pPr>
        <w:pStyle w:val="Heading3"/>
      </w:pPr>
      <w:r>
        <w:t xml:space="preserve">⚠ Known Gap: Tool Life Tracking</w:t>
      </w:r>
    </w:p>
    <w:p>
      <w:pPr>
        <w:pStyle w:val="BlockText"/>
      </w:pPr>
      <w:r>
        <w:rPr>
          <w:b/>
          <w:bCs/>
        </w:rPr>
        <w:t xml:space="preserve">Scope Matrix row 26</w:t>
      </w:r>
      <w:r>
        <w:t xml:space="preserve"> </w:t>
      </w:r>
      <w:r>
        <w:t xml:space="preserve">lists Tool Life as</w:t>
      </w:r>
      <w:r>
        <w:t xml:space="preserve"> </w:t>
      </w:r>
      <w:r>
        <w:rPr>
          <w:b/>
          <w:bCs/>
        </w:rPr>
        <w:t xml:space="preserve">Included</w:t>
      </w:r>
      <w:r>
        <w:t xml:space="preserve"> </w:t>
      </w:r>
      <w:r>
        <w:t xml:space="preserve">(FRS 5.6.6), but no dedicated table exists in the current data model. Options to address:</w:t>
      </w:r>
      <w:r>
        <w:t xml:space="preserve"> </w:t>
      </w:r>
      <w:r>
        <w:t xml:space="preserve">1.</w:t>
      </w:r>
      <w:r>
        <w:t xml:space="preserve"> </w:t>
      </w:r>
      <w:r>
        <w:rPr>
          <w:rStyle w:val="VerbatimChar"/>
          <w:b/>
          <w:bCs/>
        </w:rPr>
        <w:t xml:space="preserve">LocationAttribute</w:t>
      </w:r>
      <w:r>
        <w:t xml:space="preserve"> </w:t>
      </w:r>
      <w:r>
        <w:t xml:space="preserve">— track tool shot counts and replacement thresholds as configurable attributes on Machine-type locations (leverages existing infrastructure)</w:t>
      </w:r>
      <w:r>
        <w:t xml:space="preserve"> </w:t>
      </w:r>
      <w:r>
        <w:t xml:space="preserve">2.</w:t>
      </w:r>
      <w:r>
        <w:t xml:space="preserve"> </w:t>
      </w:r>
      <w:r>
        <w:rPr>
          <w:b/>
          <w:bCs/>
        </w:rPr>
        <w:t xml:space="preserve">Dedicated</w:t>
      </w:r>
      <w:r>
        <w:rPr>
          <w:b/>
          <w:bCs/>
        </w:rPr>
        <w:t xml:space="preserve"> </w:t>
      </w:r>
      <w:r>
        <w:rPr>
          <w:rStyle w:val="VerbatimChar"/>
          <w:b/>
          <w:bCs/>
        </w:rPr>
        <w:t xml:space="preserve">ToolLife</w:t>
      </w:r>
      <w:r>
        <w:rPr>
          <w:b/>
          <w:bCs/>
        </w:rPr>
        <w:t xml:space="preserve"> </w:t>
      </w:r>
      <w:r>
        <w:rPr>
          <w:b/>
          <w:bCs/>
        </w:rPr>
        <w:t xml:space="preserve">table</w:t>
      </w:r>
      <w:r>
        <w:t xml:space="preserve"> </w:t>
      </w:r>
      <w:r>
        <w:t xml:space="preserve">— if tool life requires its own event history (install date, shot count, replacement events), a purpose-built table in the</w:t>
      </w:r>
      <w:r>
        <w:t xml:space="preserve"> </w:t>
      </w:r>
      <w:r>
        <w:rPr>
          <w:rStyle w:val="VerbatimChar"/>
        </w:rPr>
        <w:t xml:space="preserve">Parts</w:t>
      </w:r>
      <w:r>
        <w:t xml:space="preserve"> </w:t>
      </w:r>
      <w:r>
        <w:t xml:space="preserve">or</w:t>
      </w:r>
      <w:r>
        <w:t xml:space="preserve"> </w:t>
      </w:r>
      <w:r>
        <w:rPr>
          <w:rStyle w:val="VerbatimChar"/>
        </w:rPr>
        <w:t xml:space="preserve">Oee</w:t>
      </w:r>
      <w:r>
        <w:t xml:space="preserve"> </w:t>
      </w:r>
      <w:r>
        <w:t xml:space="preserve">schema would be cleaner</w:t>
      </w:r>
    </w:p>
    <w:p>
      <w:pPr>
        <w:pStyle w:val="BlockText"/>
      </w:pPr>
      <w:r>
        <w:rPr>
          <w:b/>
          <w:bCs/>
        </w:rPr>
        <w:t xml:space="preserve">Recommendation:</w:t>
      </w:r>
      <w:r>
        <w:t xml:space="preserve"> </w:t>
      </w:r>
      <w:r>
        <w:t xml:space="preserve">Gather requirements from MPP on what Tool Life tracking means operationally before deciding. If it’s just</w:t>
      </w:r>
      <w:r>
        <w:t xml:space="preserve"> </w:t>
      </w:r>
      <w:r>
        <w:t xml:space="preserve">“alert when shot count exceeds threshold,”</w:t>
      </w:r>
      <w:r>
        <w:t xml:space="preserve"> </w:t>
      </w:r>
      <w:r>
        <w:t xml:space="preserve">option 1 suffices. If it needs history and replacement workflows, option 2 is needed.</w:t>
      </w:r>
    </w:p>
    <w:p>
      <w:r>
        <w:pict>
          <v:rect style="width:0;height:1.5pt" o:hralign="center" o:hrstd="t" o:hr="t"/>
        </w:pict>
      </w:r>
    </w:p>
    <w:bookmarkEnd w:id="32"/>
    <w:bookmarkEnd w:id="33"/>
    <w:bookmarkStart w:id="51"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bookmarkStart w:id="34"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4"/>
    <w:bookmarkStart w:id="35"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5"/>
    <w:bookmarkStart w:id="36"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6"/>
    <w:bookmarkStart w:id="37" w:name="lot"/>
    <w:p>
      <w:pPr>
        <w:pStyle w:val="Heading3"/>
      </w:pPr>
      <w:r>
        <w:t xml:space="preserve">Lot</w:t>
      </w:r>
    </w:p>
    <w:p>
      <w:pPr>
        <w:pStyle w:val="FirstParagraph"/>
      </w:pPr>
      <w:r>
        <w:t xml:space="preserve">The central tracking 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Die cast LOTs only</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t xml:space="preserve">Die cast LOTs only</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 sub-LOTs</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bookmarkEnd w:id="37"/>
    <w:bookmarkStart w:id="38"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8"/>
    <w:bookmarkStart w:id="39"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0"/>
    <w:bookmarkStart w:id="41"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1"/>
    <w:bookmarkStart w:id="42"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2"/>
    <w:bookmarkStart w:id="43"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3"/>
    <w:bookmarkStart w:id="44"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4"/>
    <w:bookmarkStart w:id="45"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5"/>
    <w:bookmarkStart w:id="46"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6"/>
    <w:bookmarkStart w:id="47"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7"/>
    <w:bookmarkStart w:id="48"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48"/>
    <w:bookmarkStart w:id="49"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lockText"/>
      </w:pPr>
      <w:r>
        <w:t xml:space="preserve">🔶</w:t>
      </w:r>
      <w:r>
        <w:t xml:space="preserve"> </w:t>
      </w:r>
      <w:r>
        <w:rPr>
          <w:b/>
          <w:bCs/>
        </w:rPr>
        <w:t xml:space="preserve">PENDING INTERNAL REVIEW — UJ-16:</w:t>
      </w:r>
      <w:r>
        <w:t xml:space="preserve"> </w:t>
      </w:r>
      <w:r>
        <w:t xml:space="preserve">When</w:t>
      </w:r>
      <w:r>
        <w:t xml:space="preserve"> </w:t>
      </w:r>
      <w:r>
        <w:rPr>
          <w:rStyle w:val="VerbatimChar"/>
        </w:rPr>
        <w:t xml:space="preserve">HardwareInterlockEnable=false</w:t>
      </w:r>
      <w:r>
        <w:t xml:space="preserve">, parts enter containers without MES serial validation. A flag is needed to record that interlock was bypassed and serial validation was skipped. Two options under discussion:</w:t>
      </w:r>
    </w:p>
    <w:p>
      <w:pPr>
        <w:pStyle w:val="BlockText"/>
      </w:pPr>
      <w:r>
        <w:rPr>
          <w:b/>
          <w:bCs/>
        </w:rPr>
        <w:t xml:space="preserve">(a)</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ContainerSerial</w:t>
      </w:r>
      <w:r>
        <w:t xml:space="preserve"> </w:t>
      </w:r>
      <w:r>
        <w:t xml:space="preserve">— marks the specific serial-to-container assignment that skipped validation.</w:t>
      </w:r>
    </w:p>
    <w:p>
      <w:pPr>
        <w:pStyle w:val="BlockText"/>
      </w:pPr>
      <w:r>
        <w:rPr>
          <w:b/>
          <w:bCs/>
        </w:rPr>
        <w:t xml:space="preserve">(b)</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ProductionEvent</w:t>
      </w:r>
      <w:r>
        <w:t xml:space="preserve"> </w:t>
      </w:r>
      <w:r>
        <w:t xml:space="preserve">— marks the broader production event as having occurred without interlock.</w:t>
      </w:r>
    </w:p>
    <w:p>
      <w:pPr>
        <w:pStyle w:val="BlockText"/>
      </w:pPr>
      <w:r>
        <w:t xml:space="preserve">The circumstances under which MPP bypasses the interlock are not yet understood. Both options are presented for discussion with Ben. The flag may belong on both tables if bypass affects traceability at both levels.</w:t>
      </w:r>
    </w:p>
    <w:bookmarkEnd w:id="49"/>
    <w:bookmarkStart w:id="50" w:name="shippinglabel"/>
    <w:p>
      <w:pPr>
        <w:pStyle w:val="Heading3"/>
      </w:pPr>
      <w:r>
        <w:t xml:space="preserve">ShippingLabel</w:t>
      </w:r>
    </w:p>
    <w:p>
      <w:pPr>
        <w:pStyle w:val="FirstParagraph"/>
      </w:pPr>
      <w:r>
        <w:t xml:space="preserve">Container shipping label print/void history.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AIM</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bl>
    <w:p>
      <w:r>
        <w:pict>
          <v:rect style="width:0;height:1.5pt" o:hralign="center" o:hrstd="t" o:hr="t"/>
        </w:pict>
      </w:r>
    </w:p>
    <w:bookmarkEnd w:id="50"/>
    <w:bookmarkEnd w:id="51"/>
    <w:bookmarkStart w:id="59"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w:t>
      </w:r>
      <w:r>
        <w:t xml:space="preserve">—</w:t>
      </w:r>
      <w:r>
        <w:t xml:space="preserve"> </w:t>
      </w:r>
      <w:r>
        <w:rPr>
          <w:b/>
          <w:bCs/>
        </w:rPr>
        <w:t xml:space="preserve">MVP</w:t>
      </w:r>
      <w:r>
        <w:t xml:space="preserve"> </w:t>
      </w:r>
      <w:r>
        <w:t xml:space="preserve">(Production Data Acquisition is included and expanded)</w:t>
      </w:r>
    </w:p>
    <w:p>
      <w:pPr>
        <w:pStyle w:val="BlockText"/>
      </w:pPr>
      <w:r>
        <w:t xml:space="preserve">🔶</w:t>
      </w:r>
      <w:r>
        <w:t xml:space="preserve"> </w:t>
      </w:r>
      <w:r>
        <w:rPr>
          <w:b/>
          <w:bCs/>
        </w:rPr>
        <w:t xml:space="preserve">PENDING CUSTOMER VALIDATION — OI-07:</w:t>
      </w:r>
      <w:r>
        <w:t xml:space="preserve"> </w:t>
      </w:r>
      <w:r>
        <w:t xml:space="preserve">Work orders are included as invisible bookkeeping (auto-generated behind the scenes). Operators never see or interact with WOs. All WO tables are populated but no WO-specific Perspective screens are built.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52"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IN_PROGRESS,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2"/>
    <w:bookmarkStart w:id="53"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IN_PROGRESS,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3"/>
    <w:bookmarkStart w:id="54" w:name="workorder"/>
    <w:p>
      <w:pPr>
        <w:pStyle w:val="Heading3"/>
      </w:pPr>
      <w:r>
        <w:t xml:space="preserve">WorkOrder</w:t>
      </w:r>
    </w:p>
    <w:p>
      <w:pPr>
        <w:pStyle w:val="FirstParagraph"/>
      </w:pPr>
      <w:r>
        <w:t xml:space="preserve">Auto-generated internal work order. Operators never see this.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r>
              <w:t xml:space="preserve">The route version active at creation</w:t>
            </w:r>
          </w:p>
        </w:tc>
      </w:tr>
      <w:tr>
        <w:tc>
          <w:tcPr/>
          <w:p>
            <w:pPr>
              <w:pStyle w:val="Compact"/>
            </w:pPr>
            <w:r>
              <w:t xml:space="preserve">WorkOrderStatusId</w:t>
            </w:r>
          </w:p>
        </w:tc>
        <w:tc>
          <w:tcPr/>
          <w:p>
            <w:pPr>
              <w:pStyle w:val="Compact"/>
            </w:pPr>
            <w:r>
              <w:t xml:space="preserve">BIGINT</w:t>
            </w:r>
          </w:p>
        </w:tc>
        <w:tc>
          <w:tcPr/>
          <w:p>
            <w:pPr>
              <w:pStyle w:val="Compact"/>
            </w:pPr>
            <w:r>
              <w:t xml:space="preserve">FK → WorkOrderStatus.Id,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54"/>
    <w:bookmarkStart w:id="55"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OperatorId</w:t>
            </w:r>
          </w:p>
        </w:tc>
        <w:tc>
          <w:tcPr/>
          <w:p>
            <w:pPr>
              <w:pStyle w:val="Compact"/>
            </w:pPr>
            <w:r>
              <w:t xml:space="preserve">BIGINT</w:t>
            </w:r>
          </w:p>
        </w:tc>
        <w:tc>
          <w:tcPr/>
          <w:p>
            <w:pPr>
              <w:pStyle w:val="Compact"/>
            </w:pPr>
            <w:r>
              <w:t xml:space="preserve">FK → AppUser.Id, NULL</w:t>
            </w:r>
          </w:p>
        </w:tc>
        <w:tc>
          <w:tcPr/>
          <w:p>
            <w:pPr>
              <w:pStyle w:val="Compact"/>
            </w:pPr>
          </w:p>
        </w:tc>
      </w:tr>
    </w:tbl>
    <w:bookmarkEnd w:id="55"/>
    <w:bookmarkStart w:id="56" w:name="productionevent"/>
    <w:p>
      <w:pPr>
        <w:pStyle w:val="Heading3"/>
      </w:pPr>
      <w:r>
        <w:t xml:space="preserve">ProductionEvent</w:t>
      </w:r>
    </w:p>
    <w:p>
      <w:pPr>
        <w:pStyle w:val="FirstParagraph"/>
      </w:pPr>
      <w:r>
        <w:t xml:space="preserve">Immutable record of production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NoGoodCount</w:t>
            </w:r>
          </w:p>
        </w:tc>
        <w:tc>
          <w:tcPr/>
          <w:p>
            <w:pPr>
              <w:pStyle w:val="Compact"/>
            </w:pPr>
            <w:r>
              <w:t xml:space="preserve">INT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RecordedAt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56"/>
    <w:bookmarkStart w:id="57"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57"/>
    <w:bookmarkStart w:id="58"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58"/>
    <w:bookmarkEnd w:id="59"/>
    <w:bookmarkStart w:id="73"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60"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0"/>
    <w:bookmarkStart w:id="61"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61"/>
    <w:bookmarkStart w:id="62"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62"/>
    <w:bookmarkStart w:id="63"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63"/>
    <w:bookmarkStart w:id="64"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64"/>
    <w:bookmarkStart w:id="65"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65"/>
    <w:bookmarkStart w:id="66"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66"/>
    <w:bookmarkStart w:id="67"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67"/>
    <w:bookmarkStart w:id="68"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68"/>
    <w:bookmarkStart w:id="69"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69"/>
    <w:bookmarkStart w:id="70"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0"/>
    <w:bookmarkStart w:id="71"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71"/>
    <w:bookmarkStart w:id="72"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72"/>
    <w:bookmarkEnd w:id="73"/>
    <w:bookmarkStart w:id="81"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74" w:name="downtimereasontype"/>
    <w:p>
      <w:pPr>
        <w:pStyle w:val="Heading3"/>
      </w:pPr>
      <w:r>
        <w:t xml:space="preserve">DowntimeReasonType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Equipment, Miscellaneous, Mold, Quality, Setup, Unscheduled</w:t>
            </w:r>
          </w:p>
        </w:tc>
      </w:tr>
    </w:tbl>
    <w:bookmarkEnd w:id="74"/>
    <w:bookmarkStart w:id="75" w:name="downtimereasoncode"/>
    <w:p>
      <w:pPr>
        <w:pStyle w:val="Heading3"/>
      </w:pPr>
      <w:r>
        <w:t xml:space="preserve">DowntimeReasonCode</w:t>
      </w:r>
    </w:p>
    <w:p>
      <w:pPr>
        <w:pStyle w:val="FirstParagraph"/>
      </w:pPr>
      <w:r>
        <w:t xml:space="preserve">~660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p>
        </w:tc>
      </w:tr>
      <w:tr>
        <w:tc>
          <w:tcPr>
            <w:shd w:val="clear" w:color="auto" w:fill="F2F2F2"/>
          </w:tcPr>
          <w:tcPr/>
          <w:p>
            <w:pPr>
              <w:pStyle w:val="Compact"/>
            </w:pPr>
            <w:r>
              <w:t xml:space="preserve">IsExcused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75"/>
    <w:bookmarkStart w:id="76" w:name="shiftschedule"/>
    <w:p>
      <w:pPr>
        <w:pStyle w:val="Heading3"/>
      </w:pPr>
      <w:r>
        <w:t xml:space="preserve">ShiftSchedule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StartTime</w:t>
            </w:r>
          </w:p>
        </w:tc>
        <w:tc>
          <w:tcPr/>
          <w:p>
            <w:pPr>
              <w:pStyle w:val="Compact"/>
            </w:pPr>
            <w:r>
              <w:t xml:space="preserve">TIME</w:t>
            </w:r>
          </w:p>
        </w:tc>
        <w:tc>
          <w:tcPr/>
          <w:p>
            <w:pPr>
              <w:pStyle w:val="Compact"/>
            </w:pPr>
            <w:r>
              <w:t xml:space="preserve">NOT NULL</w:t>
            </w:r>
          </w:p>
        </w:tc>
        <w:tc>
          <w:tcPr/>
          <w:p>
            <w:pPr>
              <w:pStyle w:val="Compact"/>
            </w:pPr>
          </w:p>
        </w:tc>
      </w:tr>
      <w:tr>
        <w:tc>
          <w:tcPr>
            <w:shd w:val="clear" w:color="auto" w:fill="F2F2F2"/>
          </w:tcPr>
          <w:tcPr/>
          <w:p>
            <w:pPr>
              <w:pStyle w:val="Compact"/>
            </w:pPr>
            <w:r>
              <w:t xml:space="preserve">EndTime</w:t>
            </w:r>
          </w:p>
        </w:tc>
        <w:tc>
          <w:tcPr>
            <w:shd w:val="clear" w:color="auto" w:fill="F2F2F2"/>
          </w:tcPr>
          <w:tcPr/>
          <w:p>
            <w:pPr>
              <w:pStyle w:val="Compact"/>
            </w:pPr>
            <w:r>
              <w:t xml:space="preserve">TIME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DaysOfWeek</w:t>
            </w:r>
          </w:p>
        </w:tc>
        <w:tc>
          <w:tcPr/>
          <w:p>
            <w:pPr>
              <w:pStyle w:val="Compact"/>
            </w:pPr>
            <w:r>
              <w:t xml:space="preserve">NVARCHAR(20)</w:t>
            </w:r>
          </w:p>
        </w:tc>
        <w:tc>
          <w:tcPr/>
          <w:p>
            <w:pPr>
              <w:pStyle w:val="Compact"/>
            </w:pPr>
            <w:r>
              <w:t xml:space="preserve">NOT NULL</w:t>
            </w:r>
          </w:p>
        </w:tc>
        <w:tc>
          <w:tcPr/>
          <w:p>
            <w:pPr>
              <w:pStyle w:val="Compact"/>
            </w:pPr>
            <w:r>
              <w:t xml:space="preserve">e.g.,</w:t>
            </w:r>
            <w:r>
              <w:t xml:space="preserve"> </w:t>
            </w:r>
            <w:r>
              <w:t xml:space="preserve">“MTWTF”</w:t>
            </w:r>
            <w:r>
              <w:t xml:space="preserve">,</w:t>
            </w:r>
            <w:r>
              <w:t xml:space="preserve"> </w:t>
            </w:r>
            <w:r>
              <w:t xml:space="preserve">“MTWRF”</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76"/>
    <w:bookmarkStart w:id="77" w:name="shift"/>
    <w:p>
      <w:pPr>
        <w:pStyle w:val="Heading3"/>
      </w:pPr>
      <w:r>
        <w:t xml:space="preserve">Shift</w:t>
      </w:r>
    </w:p>
    <w:p>
      <w:pPr>
        <w:pStyle w:val="FirstParagraph"/>
      </w:pPr>
      <w:r>
        <w:t xml:space="preserve">Actual shift instances.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ShiftDate</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ActualStart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ActualEnd</w:t>
            </w:r>
          </w:p>
        </w:tc>
        <w:tc>
          <w:tcPr/>
          <w:p>
            <w:pPr>
              <w:pStyle w:val="Compact"/>
            </w:pPr>
            <w:r>
              <w:t xml:space="preserve">DATETIME2(3)</w:t>
            </w:r>
          </w:p>
        </w:tc>
        <w:tc>
          <w:tcPr/>
          <w:p>
            <w:pPr>
              <w:pStyle w:val="Compact"/>
            </w:pPr>
            <w:r>
              <w:t xml:space="preserve">NULL</w:t>
            </w:r>
          </w:p>
        </w:tc>
        <w:tc>
          <w:tcPr/>
          <w:p>
            <w:pPr>
              <w:pStyle w:val="Compact"/>
            </w:pPr>
          </w:p>
        </w:tc>
      </w:tr>
    </w:tbl>
    <w:bookmarkEnd w:id="77"/>
    <w:bookmarkStart w:id="78"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8"/>
    <w:bookmarkStart w:id="79"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lockText"/>
      </w:pPr>
      <w:r>
        <w:t xml:space="preserve">🔶</w:t>
      </w:r>
      <w:r>
        <w:t xml:space="preserve"> </w:t>
      </w:r>
      <w:r>
        <w:rPr>
          <w:b/>
          <w:bCs/>
        </w:rPr>
        <w:t xml:space="preserve">PENDING INTERNAL REVIEW — UJ-14: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 Needs review with Ben.</w:t>
      </w:r>
    </w:p>
    <w:bookmarkEnd w:id="79"/>
    <w:bookmarkStart w:id="80"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80"/>
    <w:bookmarkEnd w:id="81"/>
    <w:bookmarkStart w:id="89" w:name="audit-schema-mvp"/>
    <w:p>
      <w:pPr>
        <w:pStyle w:val="Heading2"/>
      </w:pPr>
      <w:r>
        <w:t xml:space="preserve">7.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82"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2"/>
    <w:bookmarkStart w:id="83"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83"/>
    <w:bookmarkStart w:id="84"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84"/>
    <w:bookmarkStart w:id="85"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85"/>
    <w:bookmarkStart w:id="86"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86"/>
    <w:bookmarkStart w:id="87"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87"/>
    <w:bookmarkStart w:id="88"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88"/>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2026-04-13T14:09:19Z</dcterms:created>
  <dcterms:modified xsi:type="dcterms:W3CDTF">2026-04-13T14:09:19Z</dcterms:modified>
</cp:coreProperties>
</file>

<file path=docProps/custom.xml><?xml version="1.0" encoding="utf-8"?>
<Properties xmlns="http://schemas.openxmlformats.org/officeDocument/2006/custom-properties" xmlns:vt="http://schemas.openxmlformats.org/officeDocument/2006/docPropsVTypes"/>
</file>