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mpp-mes-data-model-reference"/>
    <w:p>
      <w:pPr>
        <w:pStyle w:val="Heading1"/>
      </w:pPr>
      <w:r>
        <w:t xml:space="preserve">MPP MES — Data Model Reference</w:t>
      </w:r>
    </w:p>
    <w:p>
      <w:pPr>
        <w:pStyle w:val="FirstParagraph"/>
      </w:pPr>
      <w:r>
        <w:rPr>
          <w:b/>
          <w:bCs/>
        </w:rPr>
        <w:t xml:space="preserve">Version:</w:t>
      </w:r>
      <w:r>
        <w:t xml:space="preserve"> </w:t>
      </w:r>
      <w:r>
        <w:t xml:space="preserve">v1.9 working draft (rev 2026-04-29l — FDS v0.11m reconciliation pass: tray-level closure wording (</w:t>
      </w:r>
      <w:r>
        <w:rPr>
          <w:rStyle w:val="VerbatimChar"/>
        </w:rPr>
        <w:t xml:space="preserve">ByVision</w:t>
      </w:r>
      <w:r>
        <w:t xml:space="preserve">),</w:t>
      </w:r>
      <w:r>
        <w:t xml:space="preserve"> </w:t>
      </w:r>
      <w:r>
        <w:rPr>
          <w:rStyle w:val="VerbatimChar"/>
        </w:rPr>
        <w:t xml:space="preserve">Trim → Machining</w:t>
      </w:r>
      <w:r>
        <w:t xml:space="preserve"> </w:t>
      </w:r>
      <w:r>
        <w:t xml:space="preserve">rename boundary, deferred event tables aligned to</w:t>
      </w:r>
      <w:r>
        <w:t xml:space="preserve"> </w:t>
      </w:r>
      <w:r>
        <w:rPr>
          <w:rStyle w:val="VerbatimChar"/>
        </w:rPr>
        <w:t xml:space="preserve">AppUserId</w:t>
      </w:r>
      <w:r>
        <w:t xml:space="preserve">,</w:t>
      </w:r>
      <w:r>
        <w:t xml:space="preserve"> </w:t>
      </w:r>
      <w:r>
        <w:rPr>
          <w:rStyle w:val="VerbatimChar"/>
        </w:rPr>
        <w:t xml:space="preserve">Parts.v_EffectiveItemLocation</w:t>
      </w:r>
      <w:r>
        <w:t xml:space="preserve"> </w:t>
      </w:r>
      <w:r>
        <w:t xml:space="preserve">view documented, terminal-mode-by-tier (FDS-02-010), Arc 2 admonitions stripped, OI-07 SQL correction marked landed, UJ-14 + UJ-16 PENDING callouts converted to resolved-prose. See revision history)</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~73</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1.9l</w:t>
            </w:r>
          </w:p>
        </w:tc>
        <w:tc>
          <w:tcPr/>
          <w:p>
            <w:pPr>
              <w:pStyle w:val="Compact"/>
            </w:pPr>
            <w:r>
              <w:t xml:space="preserve">2026-04-29</w:t>
            </w:r>
          </w:p>
        </w:tc>
        <w:tc>
          <w:tcPr/>
          <w:p>
            <w:pPr>
              <w:pStyle w:val="Compact"/>
            </w:pPr>
            <w:r>
              <w:t xml:space="preserve">Blue Ridge Automation</w:t>
            </w:r>
          </w:p>
        </w:tc>
        <w:tc>
          <w:tcPr/>
          <w:p>
            <w:pPr>
              <w:pStyle w:val="Compact"/>
            </w:pPr>
            <w:r>
              <w:rPr>
                <w:b/>
                <w:bCs/>
              </w:rPr>
              <w:t xml:space="preserve">FDS v0.11m reconciliation pass — DM aligned to FDS as source of truth.</w:t>
            </w:r>
            <w:r>
              <w:t xml:space="preserve"> </w:t>
            </w:r>
            <w:r>
              <w:t xml:space="preserve">Comprehensive sweep of stale wording across the doc following the FDS continuity + clarity passes in v0.11k/l/m.</w:t>
            </w:r>
            <w:r>
              <w:t xml:space="preserve"> </w:t>
            </w:r>
            <w:r>
              <w:rPr>
                <w:b/>
                <w:bCs/>
              </w:rPr>
              <w:t xml:space="preserve">§2 ContainerConfig:</w:t>
            </w:r>
            <w:r>
              <w:t xml:space="preserve"> </w:t>
            </w:r>
            <w:r>
              <w:rPr>
                <w:rStyle w:val="VerbatimChar"/>
              </w:rPr>
              <w:t xml:space="preserve">ClosureMethod</w:t>
            </w:r>
            <w:r>
              <w:t xml:space="preserve"> </w:t>
            </w:r>
            <w:r>
              <w:t xml:space="preserve">row reframed as</w:t>
            </w:r>
            <w:r>
              <w:t xml:space="preserve"> </w:t>
            </w:r>
            <w:r>
              <w:rPr>
                <w:b/>
                <w:bCs/>
              </w:rPr>
              <w:t xml:space="preserve">tray-level</w:t>
            </w:r>
            <w:r>
              <w:t xml:space="preserve"> </w:t>
            </w:r>
            <w:r>
              <w:t xml:space="preserve">trigger per FDS-06-014 —</w:t>
            </w:r>
            <w:r>
              <w:t xml:space="preserve">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all describe per-tray validation; container fill is MES-side accumulation (no PLC</w:t>
            </w:r>
            <w:r>
              <w:t xml:space="preserve"> </w:t>
            </w:r>
            <w:r>
              <w:rPr>
                <w:rStyle w:val="VerbatimChar"/>
              </w:rPr>
              <w:t xml:space="preserve">ContainerFullFlag</w:t>
            </w:r>
            <w:r>
              <w:t xml:space="preserve"> </w:t>
            </w:r>
            <w:r>
              <w:t xml:space="preserve">tag).</w:t>
            </w:r>
            <w:r>
              <w:t xml:space="preserve"> </w:t>
            </w:r>
            <w:r>
              <w:rPr>
                <w:b/>
                <w:bCs/>
              </w:rPr>
              <w:t xml:space="preserve">§2 Casting → Trim subsection retitled</w:t>
            </w:r>
            <w:r>
              <w:rPr>
                <w:b/>
                <w:bCs/>
              </w:rPr>
              <w:t xml:space="preserve"> </w:t>
            </w:r>
            <w:r>
              <w:rPr>
                <w:rStyle w:val="VerbatimChar"/>
                <w:b/>
                <w:bCs/>
              </w:rPr>
              <w:t xml:space="preserve">Trim → Machining</w:t>
            </w:r>
            <w:r>
              <w:t xml:space="preserve"> </w:t>
            </w:r>
            <w:r>
              <w:t xml:space="preserve">per FDS-05-033 v0.11m boundary clarification — LOT keeps cast-part identity through Casting and Trim; Trim sprue/deburr is yield loss via</w:t>
            </w:r>
            <w:r>
              <w:t xml:space="preserve"> </w:t>
            </w:r>
            <w:r>
              <w:rPr>
                <w:rStyle w:val="VerbatimChar"/>
              </w:rPr>
              <w:t xml:space="preserve">RejectEvent</w:t>
            </w:r>
            <w:r>
              <w:t xml:space="preserve"> </w:t>
            </w:r>
            <w:r>
              <w:t xml:space="preserve">on the same LOT; rename fires at first Machining Cell. BOM example rewritten (</w:t>
            </w:r>
            <w:r>
              <w:rPr>
                <w:rStyle w:val="VerbatimChar"/>
              </w:rPr>
              <w:t xml:space="preserve">5G0-TRIM</w:t>
            </w:r>
            <w:r>
              <w:t xml:space="preserve"> </w:t>
            </w:r>
            <w:r>
              <w:t xml:space="preserve">Component +</w:t>
            </w:r>
            <w:r>
              <w:t xml:space="preserve"> </w:t>
            </w:r>
            <w:r>
              <w:rPr>
                <w:rStyle w:val="VerbatimChar"/>
              </w:rPr>
              <w:t xml:space="preserve">5G0-MACHINED</w:t>
            </w:r>
            <w:r>
              <w:t xml:space="preserve"> </w:t>
            </w:r>
            <w:r>
              <w:t xml:space="preserve">Sub-Assembly). Backward-trace narrative rewritten — single Machining-IN consumption hop.</w:t>
            </w:r>
            <w:r>
              <w:t xml:space="preserve"> </w:t>
            </w:r>
            <w:r>
              <w:rPr>
                <w:b/>
                <w:bCs/>
              </w:rPr>
              <w:t xml:space="preserve">§2 NEW VIEW</w:t>
            </w:r>
            <w:r>
              <w:rPr>
                <w:b/>
                <w:bCs/>
              </w:rPr>
              <w:t xml:space="preserve"> </w:t>
            </w:r>
            <w:r>
              <w:rPr>
                <w:rStyle w:val="VerbatimChar"/>
                <w:b/>
                <w:bCs/>
              </w:rPr>
              <w:t xml:space="preserve">Parts.v_EffectiveItemLocation</w:t>
            </w:r>
            <w:r>
              <w:rPr>
                <w:b/>
                <w:bCs/>
              </w:rPr>
              <w:t xml:space="preserve"> </w:t>
            </w:r>
            <w:r>
              <w:rPr>
                <w:b/>
                <w:bCs/>
              </w:rPr>
              <w:t xml:space="preserve">(LocationId, ItemId, Source)</w:t>
            </w:r>
            <w:r>
              <w:t xml:space="preserve"> </w:t>
            </w:r>
            <w:r>
              <w:t xml:space="preserve">documented per FDS-02-012 — Direct ∪ BomDerived eligibility resolution; created in Arc 2 Phase 1 alongside</w:t>
            </w:r>
            <w:r>
              <w:t xml:space="preserve"> </w:t>
            </w:r>
            <w:r>
              <w:rPr>
                <w:rStyle w:val="VerbatimChar"/>
              </w:rPr>
              <w:t xml:space="preserve">ItemLocation_CheckEligibility</w:t>
            </w:r>
            <w:r>
              <w:t xml:space="preserve">.</w:t>
            </w:r>
            <w:r>
              <w:t xml:space="preserve"> </w:t>
            </w:r>
            <w:r>
              <w:rPr>
                <w:b/>
                <w:bCs/>
              </w:rPr>
              <w:t xml:space="preserve">§2 Item.DefaultSubLotQty</w:t>
            </w:r>
            <w:r>
              <w:t xml:space="preserve"> </w:t>
            </w:r>
            <w:r>
              <w:t xml:space="preserve">description corrected — split fires at Trim OUT (FDS-05-009), not Machining IN.</w:t>
            </w:r>
            <w:r>
              <w:t xml:space="preserve"> </w:t>
            </w:r>
            <w:r>
              <w:rPr>
                <w:b/>
                <w:bCs/>
              </w:rPr>
              <w:t xml:space="preserve">§2 ContainerSerial</w:t>
            </w:r>
            <w:r>
              <w:t xml:space="preserve"> </w:t>
            </w:r>
            <w:r>
              <w:t xml:space="preserve">UJ-16</w:t>
            </w:r>
            <w:r>
              <w:t xml:space="preserve"> </w:t>
            </w:r>
            <w:r>
              <w:rPr>
                <w:rStyle w:val="VerbatimChar"/>
              </w:rPr>
              <w:t xml:space="preserve">🔶 PENDING</w:t>
            </w:r>
            <w:r>
              <w:t xml:space="preserve"> </w:t>
            </w:r>
            <w:r>
              <w:t xml:space="preserve">callout converted to flowing prose — Resolved 2026-04-27 per OIR v2.14, Option A:</w:t>
            </w:r>
            <w:r>
              <w:t xml:space="preserve"> </w:t>
            </w:r>
            <w:r>
              <w:rPr>
                <w:rStyle w:val="VerbatimChar"/>
              </w:rPr>
              <w:t xml:space="preserve">HardwareInterlockBypassed BIT</w:t>
            </w:r>
            <w:r>
              <w:t xml:space="preserve"> </w:t>
            </w:r>
            <w:r>
              <w:t xml:space="preserve">lands on</w:t>
            </w:r>
            <w:r>
              <w:t xml:space="preserve"> </w:t>
            </w:r>
            <w:r>
              <w:rPr>
                <w:rStyle w:val="VerbatimChar"/>
              </w:rPr>
              <w:t xml:space="preserve">Lots.ContainerSerial</w:t>
            </w:r>
            <w:r>
              <w:t xml:space="preserve">.</w:t>
            </w:r>
            <w:r>
              <w:t xml:space="preserve"> </w:t>
            </w:r>
            <w:r>
              <w:rPr>
                <w:b/>
                <w:bCs/>
              </w:rPr>
              <w:t xml:space="preserve">§4 WorkOrderType</w:t>
            </w:r>
            <w:r>
              <w:t xml:space="preserve"> </w:t>
            </w:r>
            <w:r>
              <w:t xml:space="preserve">SQL correction follow-up note replaced with past-tense one-liner — migration</w:t>
            </w:r>
            <w:r>
              <w:t xml:space="preserve"> </w:t>
            </w:r>
            <w:r>
              <w:rPr>
                <w:rStyle w:val="VerbatimChar"/>
              </w:rPr>
              <w:t xml:space="preserve">0013_oi07_oi12_corrections.sql</w:t>
            </w:r>
            <w:r>
              <w:t xml:space="preserve"> </w:t>
            </w:r>
            <w:r>
              <w:t xml:space="preserve">landed 2026-04-28, 858/858 tests passing.</w:t>
            </w:r>
            <w:r>
              <w:t xml:space="preserve"> </w:t>
            </w:r>
            <w:r>
              <w:rPr>
                <w:b/>
                <w:bCs/>
              </w:rPr>
              <w:t xml:space="preserve">§4 WorkOrder</w:t>
            </w:r>
            <w:r>
              <w:t xml:space="preserve"> </w:t>
            </w:r>
            <w:r>
              <w:t xml:space="preserve">narrative tightened — dropped Arc 2 Phase 1 deployment-state admonition; column contract is the spec.</w:t>
            </w:r>
            <w:r>
              <w:t xml:space="preserve"> </w:t>
            </w:r>
            <w:r>
              <w:rPr>
                <w:b/>
                <w:bCs/>
              </w:rPr>
              <w:t xml:space="preserve">§4 ProductionEvent</w:t>
            </w:r>
            <w:r>
              <w:t xml:space="preserve"> </w:t>
            </w:r>
            <w:r>
              <w:t xml:space="preserve">narrative tightened — dropped v1.9 reshape framing and Arc 2 admonition;</w:t>
            </w:r>
            <w:r>
              <w:t xml:space="preserve"> </w:t>
            </w:r>
            <w:r>
              <w:t xml:space="preserve">“Checkpoint-shape event table”</w:t>
            </w:r>
            <w:r>
              <w:t xml:space="preserve"> </w:t>
            </w:r>
            <w:r>
              <w:t xml:space="preserve">describes the shape directly.</w:t>
            </w:r>
            <w:r>
              <w:t xml:space="preserve"> </w:t>
            </w:r>
            <w:r>
              <w:rPr>
                <w:b/>
                <w:bCs/>
              </w:rPr>
              <w:t xml:space="preserve">§4 deferred event tables (</w:t>
            </w:r>
            <w:r>
              <w:rPr>
                <w:rStyle w:val="VerbatimChar"/>
                <w:b/>
                <w:bCs/>
              </w:rPr>
              <w:t xml:space="preserve">WorkOrderOperation</w:t>
            </w:r>
            <w:r>
              <w:rPr>
                <w:b/>
                <w:bCs/>
              </w:rPr>
              <w:t xml:space="preserve">,</w:t>
            </w:r>
            <w:r>
              <w:rPr>
                <w:b/>
                <w:bCs/>
              </w:rPr>
              <w:t xml:space="preserve"> </w:t>
            </w:r>
            <w:r>
              <w:rPr>
                <w:rStyle w:val="VerbatimChar"/>
                <w:b/>
                <w:bCs/>
              </w:rPr>
              <w:t xml:space="preserve">ConsumptionEvent</w:t>
            </w:r>
            <w:r>
              <w:rPr>
                <w:b/>
                <w:bCs/>
              </w:rPr>
              <w:t xml:space="preserve">,</w:t>
            </w:r>
            <w:r>
              <w:rPr>
                <w:b/>
                <w:bCs/>
              </w:rPr>
              <w:t xml:space="preserve"> </w:t>
            </w:r>
            <w:r>
              <w:rPr>
                <w:rStyle w:val="VerbatimChar"/>
                <w:b/>
                <w:bCs/>
              </w:rPr>
              <w:t xml:space="preserve">RejectEvent</w:t>
            </w:r>
            <w:r>
              <w:rPr>
                <w:b/>
                <w:bCs/>
              </w:rPr>
              <w:t xml:space="preserve">) and §6</w:t>
            </w:r>
            <w:r>
              <w:rPr>
                <w:b/>
                <w:bCs/>
              </w:rPr>
              <w:t xml:space="preserve"> </w:t>
            </w:r>
            <w:r>
              <w:rPr>
                <w:rStyle w:val="VerbatimChar"/>
                <w:b/>
                <w:bCs/>
              </w:rPr>
              <w:t xml:space="preserve">DowntimeEvent</w:t>
            </w:r>
            <w:r>
              <w:rPr>
                <w:b/>
                <w:bCs/>
              </w:rPr>
              <w:t xml:space="preserve">:</w:t>
            </w:r>
            <w:r>
              <w:t xml:space="preserve"> </w:t>
            </w:r>
            <w:r>
              <w:rPr>
                <w:rStyle w:val="VerbatimChar"/>
              </w:rPr>
              <w:t xml:space="preserve">OperatorId</w:t>
            </w:r>
            <w:r>
              <w:t xml:space="preserve"> </w:t>
            </w:r>
            <w:r>
              <w:t xml:space="preserve">columns renamed to</w:t>
            </w:r>
            <w:r>
              <w:t xml:space="preserve"> </w:t>
            </w:r>
            <w:r>
              <w:rPr>
                <w:rStyle w:val="VerbatimChar"/>
              </w:rPr>
              <w:t xml:space="preserve">AppUserId</w:t>
            </w:r>
            <w:r>
              <w:t xml:space="preserve"> </w:t>
            </w:r>
            <w:r>
              <w:t xml:space="preserve">for consistency with the SP template (</w:t>
            </w:r>
            <w:r>
              <w:rPr>
                <w:rStyle w:val="VerbatimChar"/>
              </w:rPr>
              <w:t xml:space="preserve">@AppUserId BIGINT</w:t>
            </w:r>
            <w:r>
              <w:t xml:space="preserve">) and the v1.9</w:t>
            </w:r>
            <w:r>
              <w:t xml:space="preserve"> </w:t>
            </w:r>
            <w:r>
              <w:rPr>
                <w:rStyle w:val="VerbatimChar"/>
              </w:rPr>
              <w:t xml:space="preserve">ProductionEvent</w:t>
            </w:r>
            <w:r>
              <w:t xml:space="preserve"> </w:t>
            </w:r>
            <w:r>
              <w:t xml:space="preserve">reshape. Rule-of-law check: SP template at</w:t>
            </w:r>
            <w:r>
              <w:t xml:space="preserve"> </w:t>
            </w:r>
            <w:r>
              <w:rPr>
                <w:rStyle w:val="VerbatimChar"/>
              </w:rPr>
              <w:t xml:space="preserve">sql/scripts/_TEMPLATE_stored_procedure.sql</w:t>
            </w:r>
            <w:r>
              <w:t xml:space="preserve"> </w:t>
            </w:r>
            <w:r>
              <w:t xml:space="preserve">uses</w:t>
            </w:r>
            <w:r>
              <w:t xml:space="preserve"> </w:t>
            </w:r>
            <w:r>
              <w:rPr>
                <w:rStyle w:val="VerbatimChar"/>
              </w:rPr>
              <w:t xml:space="preserve">@AppUserId</w:t>
            </w:r>
            <w:r>
              <w:t xml:space="preserve">; the deferred event tables are not yet CREATEd in any of the 13 shipped migrations, so this is purely a DM spec alignment with no SQL impact.</w:t>
            </w:r>
            <w:r>
              <w:t xml:space="preserve"> </w:t>
            </w:r>
            <w:r>
              <w:rPr>
                <w:b/>
                <w:bCs/>
              </w:rPr>
              <w:t xml:space="preserve">§6 DowntimeEvent</w:t>
            </w:r>
            <w:r>
              <w:t xml:space="preserve"> </w:t>
            </w:r>
            <w:r>
              <w:t xml:space="preserve">UJ-14</w:t>
            </w:r>
            <w:r>
              <w:t xml:space="preserve"> </w:t>
            </w:r>
            <w:r>
              <w:rPr>
                <w:rStyle w:val="VerbatimChar"/>
              </w:rPr>
              <w:t xml:space="preserve">🔶 PENDING</w:t>
            </w:r>
            <w:r>
              <w:t xml:space="preserve"> </w:t>
            </w:r>
            <w:r>
              <w:t xml:space="preserve">callout converted to flowing prose — Resolved 2026-04-27 per OIR v2.14.</w:t>
            </w:r>
            <w:r>
              <w:t xml:space="preserve"> </w:t>
            </w:r>
            <w:r>
              <w:rPr>
                <w:b/>
                <w:bCs/>
              </w:rPr>
              <w:t xml:space="preserve">§7 Tools cross-references rewritten:</w:t>
            </w:r>
            <w:r>
              <w:t xml:space="preserve"> </w:t>
            </w:r>
            <w:r>
              <w:rPr>
                <w:rStyle w:val="VerbatimChar"/>
              </w:rPr>
              <w:t xml:space="preserve">Workorder.WorkOrder.ToolId</w:t>
            </w:r>
            <w:r>
              <w:t xml:space="preserve"> </w:t>
            </w:r>
            <w:r>
              <w:t xml:space="preserve">parenthetical no longer references the deleted</w:t>
            </w:r>
            <w:r>
              <w:t xml:space="preserve"> </w:t>
            </w:r>
            <w:r>
              <w:rPr>
                <w:rStyle w:val="VerbatimChar"/>
              </w:rPr>
              <w:t xml:space="preserve">Recipe</w:t>
            </w:r>
            <w:r>
              <w:t xml:space="preserve"> </w:t>
            </w:r>
            <w:r>
              <w:t xml:space="preserve">WorkOrderType (OI-07);</w:t>
            </w:r>
            <w:r>
              <w:t xml:space="preserve"> </w:t>
            </w:r>
            <w:r>
              <w:rPr>
                <w:rStyle w:val="VerbatimChar"/>
              </w:rPr>
              <w:t xml:space="preserve">Workorder.ProductionEvent.DieIdentifier</w:t>
            </w:r>
            <w:r>
              <w:t xml:space="preserve"> </w:t>
            </w:r>
            <w:r>
              <w:t xml:space="preserve">cross-ref replaced with</w:t>
            </w:r>
            <w:r>
              <w:t xml:space="preserve"> </w:t>
            </w:r>
            <w:r>
              <w:rPr>
                <w:rStyle w:val="VerbatimChar"/>
              </w:rPr>
              <w:t xml:space="preserve">Lots.Lot.ToolId</w:t>
            </w:r>
            <w:r>
              <w:t xml:space="preserve"> </w:t>
            </w:r>
            <w:r>
              <w:t xml:space="preserve">derivation rule (DieIdentifier column was DROPPED in v1.9 reshape); ItemTransform tombstone clause removed.</w:t>
            </w:r>
            <w:r>
              <w:t xml:space="preserve"> </w:t>
            </w:r>
            <w:r>
              <w:rPr>
                <w:b/>
                <w:bCs/>
              </w:rPr>
              <w:t xml:space="preserve">§1 Location:</w:t>
            </w:r>
            <w:r>
              <w:t xml:space="preserve"> </w:t>
            </w:r>
            <w:r>
              <w:rPr>
                <w:rStyle w:val="VerbatimChar"/>
              </w:rPr>
              <w:t xml:space="preserve">Terminal</w:t>
            </w:r>
            <w:r>
              <w:t xml:space="preserve"> </w:t>
            </w:r>
            <w:r>
              <w:t xml:space="preserve">LocationTypeDefinition seed-row description updated to</w:t>
            </w:r>
            <w:r>
              <w:t xml:space="preserve"> </w:t>
            </w:r>
            <w:r>
              <w:t xml:space="preserve">“mode derived from parent tier”</w:t>
            </w:r>
            <w:r>
              <w:t xml:space="preserve">;</w:t>
            </w:r>
            <w:r>
              <w:t xml:space="preserve"> </w:t>
            </w:r>
            <w:r>
              <w:t xml:space="preserve">“Terminals in the New Model”</w:t>
            </w:r>
            <w:r>
              <w:t xml:space="preserve"> </w:t>
            </w:r>
            <w:r>
              <w:t xml:space="preserve">callout rewritten for FDS-02-009/010/011 (two-mode model + scan-or-dropdown context selection);</w:t>
            </w:r>
            <w:r>
              <w:t xml:space="preserve"> </w:t>
            </w:r>
            <w:r>
              <w:rPr>
                <w:rStyle w:val="VerbatimChar"/>
              </w:rPr>
              <w:t xml:space="preserve">NumberOfCavities</w:t>
            </w:r>
            <w:r>
              <w:t xml:space="preserve"> </w:t>
            </w:r>
            <w:r>
              <w:t xml:space="preserve">removed as</w:t>
            </w:r>
            <w:r>
              <w:t xml:space="preserve"> </w:t>
            </w:r>
            <w:r>
              <w:rPr>
                <w:rStyle w:val="VerbatimChar"/>
              </w:rPr>
              <w:t xml:space="preserve">DieCastMachine</w:t>
            </w:r>
            <w:r>
              <w:t xml:space="preserve"> </w:t>
            </w:r>
            <w:r>
              <w:t xml:space="preserve">LocationAttribute example (cavity data lives on</w:t>
            </w:r>
            <w:r>
              <w:t xml:space="preserve"> </w:t>
            </w:r>
            <w:r>
              <w:rPr>
                <w:rStyle w:val="VerbatimChar"/>
              </w:rPr>
              <w:t xml:space="preserve">Tools.ToolCavity</w:t>
            </w:r>
            <w:r>
              <w:t xml:space="preserve">); explanatory note added — cavities belong to the die, not the press.</w:t>
            </w:r>
            <w:r>
              <w:t xml:space="preserve"> </w:t>
            </w:r>
            <w:r>
              <w:rPr>
                <w:b/>
                <w:bCs/>
              </w:rPr>
              <w:t xml:space="preserve">§3 Lots</w:t>
            </w:r>
            <w:r>
              <w:rPr>
                <w:b/>
                <w:bCs/>
              </w:rPr>
              <w:t xml:space="preserve"> </w:t>
            </w:r>
            <w:r>
              <w:rPr>
                <w:rStyle w:val="VerbatimChar"/>
                <w:b/>
                <w:bCs/>
              </w:rPr>
              <w:t xml:space="preserve">IdentifierSequence</w:t>
            </w:r>
            <w:r>
              <w:rPr>
                <w:b/>
                <w:bCs/>
              </w:rPr>
              <w:t xml:space="preserve"> </w:t>
            </w:r>
            <w:r>
              <w:rPr>
                <w:b/>
                <w:bCs/>
              </w:rPr>
              <w:t xml:space="preserve">reference</w:t>
            </w:r>
            <w:r>
              <w:t xml:space="preserve"> </w:t>
            </w:r>
            <w:r>
              <w:t xml:space="preserve">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for the OIR cross-ref (matches FDS v0.11m convention).</w:t>
            </w:r>
            <w:r>
              <w:t xml:space="preserve"> </w:t>
            </w:r>
            <w:r>
              <w:rPr>
                <w:b/>
                <w:bCs/>
              </w:rPr>
              <w:t xml:space="preserve">Document-wide:</w:t>
            </w:r>
            <w:r>
              <w:t xml:space="preserve"> </w:t>
            </w:r>
            <w:r>
              <w:rPr>
                <w:rStyle w:val="VerbatimChar"/>
              </w:rPr>
              <w:t xml:space="preserve">⚠ Implementation deferred to Arc 2 Phase N</w:t>
            </w:r>
            <w:r>
              <w:t xml:space="preserve"> </w:t>
            </w:r>
            <w:r>
              <w:t xml:space="preserve">admonitions stripped (5 instances) — DM is the big-picture end-goal final solution; deployment state belongs in the phased plan. No schema changes to currently-shipped tables; all changes are spec-doc alignment to FDS v0.11m.</w:t>
            </w:r>
          </w:p>
        </w:tc>
      </w:tr>
      <w:tr>
        <w:tc>
          <w:tcPr>
            <w:shd w:val="clear" w:color="auto" w:fill="F2F2F2"/>
          </w:tcPr>
          <w:tcPr/>
          <w:p>
            <w:pPr>
              <w:pStyle w:val="Compact"/>
            </w:pPr>
            <w:r>
              <w:t xml:space="preserve">1.9k</w:t>
            </w:r>
          </w:p>
        </w:tc>
        <w:tc>
          <w:tcPr>
            <w:shd w:val="clear" w:color="auto" w:fill="F2F2F2"/>
          </w:tcPr>
          <w:tcPr/>
          <w:p>
            <w:pPr>
              <w:pStyle w:val="Compact"/>
            </w:pPr>
            <w:r>
              <w:t xml:space="preserve">2026-04-28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Two FDS-driven additions queued from 2026-04-28 working sessions.</w:t>
            </w:r>
            <w:r>
              <w:t xml:space="preserve"> </w:t>
            </w:r>
            <w:r>
              <w:t xml:space="preserve">(1)</w:t>
            </w:r>
            <w:r>
              <w:t xml:space="preserve"> </w:t>
            </w:r>
            <w:r>
              <w:rPr>
                <w:rStyle w:val="VerbatimChar"/>
                <w:b/>
                <w:bCs/>
              </w:rPr>
              <w:t xml:space="preserve">Lots.ShippingLabel.BannerAcknowledgedAt DATETIME2(3) NULL</w:t>
            </w:r>
            <w:r>
              <w:t xml:space="preserve"> </w:t>
            </w:r>
            <w:r>
              <w:t xml:space="preserve">— supports the FDS-07-006b broadcast-with-session-filter Acknowledge action, where the per-terminal print-failure banner shown by FDS-07-006a’s retry-exhausted state can be dismissed by the operator. Independent of</w:t>
            </w:r>
            <w:r>
              <w:t xml:space="preserve"> </w:t>
            </w:r>
            <w:r>
              <w:rPr>
                <w:rStyle w:val="VerbatimChar"/>
              </w:rPr>
              <w:t xml:space="preserve">PrintFailedAt</w:t>
            </w:r>
            <w:r>
              <w:t xml:space="preserve">: the row stays in failed state for the safety-sweep alarm even after acknowledgement; this column only suppresses the banner UI on the closing terminal. State derivation table updated: Failed =</w:t>
            </w:r>
            <w:r>
              <w:t xml:space="preserve"> </w:t>
            </w:r>
            <w:r>
              <w:rPr>
                <w:rStyle w:val="VerbatimChar"/>
              </w:rPr>
              <w:t xml:space="preserve">PrintFailedAt IS NOT NULL AND BannerAcknowledgedAt IS NULL</w:t>
            </w:r>
            <w:r>
              <w:t xml:space="preserve">; Failed-acknowledged = both non-NULL. SQL deferred to Arc 2 Phase 7 alongside the rest of the Container schema CREATE — column contract above is authoritative. (2)</w:t>
            </w:r>
            <w:r>
              <w:t xml:space="preserve"> </w:t>
            </w:r>
            <w:r>
              <w:rPr>
                <w:rStyle w:val="VerbatimChar"/>
                <w:b/>
                <w:bCs/>
              </w:rPr>
              <w:t xml:space="preserve">CoupledDownstreamCellLocationId</w:t>
            </w:r>
            <w:r>
              <w:rPr>
                <w:b/>
                <w:bCs/>
              </w:rPr>
              <w:t xml:space="preserve"> </w:t>
            </w:r>
            <w:r>
              <w:rPr>
                <w:b/>
                <w:bCs/>
              </w:rPr>
              <w:t xml:space="preserve">LocationAttributeDefinition seed under</w:t>
            </w:r>
            <w:r>
              <w:rPr>
                <w:b/>
                <w:bCs/>
              </w:rPr>
              <w:t xml:space="preserve"> </w:t>
            </w:r>
            <w:r>
              <w:rPr>
                <w:rStyle w:val="VerbatimChar"/>
                <w:b/>
                <w:bCs/>
              </w:rPr>
              <w:t xml:space="preserve">CNCMachine</w:t>
            </w:r>
            <w:r>
              <w:t xml:space="preserve"> </w:t>
            </w:r>
            <w:r>
              <w:t xml:space="preserve">— supports the FDS-06-008 Machining OUT auto-move-to-coupled-Assembly-Cell flow. New illustrative seed row added to the §2 LocationAttributeDefinition examples block under a new</w:t>
            </w:r>
            <w:r>
              <w:t xml:space="preserve"> </w:t>
            </w:r>
            <w:r>
              <w:t xml:space="preserve">“For</w:t>
            </w:r>
            <w:r>
              <w:t xml:space="preserve"> </w:t>
            </w:r>
            <w:r>
              <w:rPr>
                <w:rStyle w:val="VerbatimChar"/>
              </w:rPr>
              <w:t xml:space="preserve">Cell</w:t>
            </w:r>
            <w:r>
              <w:t xml:space="preserve"> </w:t>
            </w:r>
            <w:r>
              <w:t xml:space="preserve">→</w:t>
            </w:r>
            <w:r>
              <w:t xml:space="preserve"> </w:t>
            </w:r>
            <w:r>
              <w:rPr>
                <w:rStyle w:val="VerbatimChar"/>
              </w:rPr>
              <w:t xml:space="preserve">CNCMachine</w:t>
            </w:r>
            <w:r>
              <w:t xml:space="preserve"> </w:t>
            </w:r>
            <w:r>
              <w:t xml:space="preserve">definition”</w:t>
            </w:r>
            <w:r>
              <w:t xml:space="preserve"> </w:t>
            </w:r>
            <w:r>
              <w:t xml:space="preserve">subsection:</w:t>
            </w:r>
            <w:r>
              <w:t xml:space="preserve"> </w:t>
            </w:r>
            <w:r>
              <w:rPr>
                <w:rStyle w:val="VerbatimChar"/>
              </w:rPr>
              <w:t xml:space="preserve">AttributeName=CoupledDownstreamCellLocationId</w:t>
            </w:r>
            <w:r>
              <w:t xml:space="preserve">,</w:t>
            </w:r>
            <w:r>
              <w:t xml:space="preserve"> </w:t>
            </w:r>
            <w:r>
              <w:rPr>
                <w:rStyle w:val="VerbatimChar"/>
              </w:rPr>
              <w:t xml:space="preserve">DataType=Integer</w:t>
            </w:r>
            <w:r>
              <w:t xml:space="preserve"> </w:t>
            </w:r>
            <w:r>
              <w:t xml:space="preserve">(parsed as a</w:t>
            </w:r>
            <w:r>
              <w:t xml:space="preserve"> </w:t>
            </w:r>
            <w:r>
              <w:rPr>
                <w:rStyle w:val="VerbatimChar"/>
              </w:rPr>
              <w:t xml:space="preserve">Location.Location.Id</w:t>
            </w:r>
            <w:r>
              <w:t xml:space="preserve"> </w:t>
            </w:r>
            <w:r>
              <w:t xml:space="preserve">reference),</w:t>
            </w:r>
            <w:r>
              <w:t xml:space="preserve"> </w:t>
            </w:r>
            <w:r>
              <w:rPr>
                <w:rStyle w:val="VerbatimChar"/>
              </w:rPr>
              <w:t xml:space="preserve">IsRequired=0</w:t>
            </w:r>
            <w:r>
              <w:t xml:space="preserve"> </w:t>
            </w:r>
            <w:r>
              <w:t xml:space="preserve">(NULL = legacy uncoupled path). When non-NULL, PLC-signalled machining completion writes the</w:t>
            </w:r>
            <w:r>
              <w:t xml:space="preserve"> </w:t>
            </w:r>
            <w:r>
              <w:rPr>
                <w:rStyle w:val="VerbatimChar"/>
              </w:rPr>
              <w:t xml:space="preserve">ProductionEvent</w:t>
            </w:r>
            <w:r>
              <w:t xml:space="preserve"> </w:t>
            </w:r>
            <w:r>
              <w:t xml:space="preserve">and a</w:t>
            </w:r>
            <w:r>
              <w:t xml:space="preserve"> </w:t>
            </w:r>
            <w:r>
              <w:rPr>
                <w:rStyle w:val="VerbatimChar"/>
              </w:rPr>
              <w:t xml:space="preserve">LotMovement</w:t>
            </w:r>
            <w:r>
              <w:t xml:space="preserve"> </w:t>
            </w:r>
            <w:r>
              <w:t xml:space="preserve">to the referenced Cell + updates</w:t>
            </w:r>
            <w:r>
              <w:t xml:space="preserve"> </w:t>
            </w:r>
            <w:r>
              <w:rPr>
                <w:rStyle w:val="VerbatimChar"/>
              </w:rPr>
              <w:t xml:space="preserve">CurrentLocationId</w:t>
            </w:r>
            <w:r>
              <w:t xml:space="preserve">; when NULL, completion writes the event only and the LOT stays at the Machining Cell awaiting operator-driven movement. Phase G seed delta on the next migration: +1 row for</w:t>
            </w:r>
            <w:r>
              <w:t xml:space="preserve"> </w:t>
            </w:r>
            <w:r>
              <w:rPr>
                <w:rStyle w:val="VerbatimChar"/>
              </w:rPr>
              <w:t xml:space="preserve">CoupledDownstreamCellLocationId</w:t>
            </w:r>
            <w:r>
              <w:t xml:space="preserve"> </w:t>
            </w:r>
            <w:r>
              <w:t xml:space="preserve">on the</w:t>
            </w:r>
            <w:r>
              <w:t xml:space="preserve"> </w:t>
            </w:r>
            <w:r>
              <w:rPr>
                <w:rStyle w:val="VerbatimChar"/>
              </w:rPr>
              <w:t xml:space="preserve">CNCMachine</w:t>
            </w:r>
            <w:r>
              <w:t xml:space="preserve"> </w:t>
            </w:r>
            <w:r>
              <w:t xml:space="preserve">definition. No other schema changes.</w:t>
            </w:r>
          </w:p>
        </w:tc>
      </w:tr>
      <w:tr>
        <w:tc>
          <w:tcPr/>
          <w:p>
            <w:pPr>
              <w:pStyle w:val="Compact"/>
            </w:pPr>
            <w:r>
              <w:t xml:space="preserve">1.9j</w:t>
            </w:r>
          </w:p>
        </w:tc>
        <w:tc>
          <w:tcPr/>
          <w:p>
            <w:pPr>
              <w:pStyle w:val="Compact"/>
            </w:pPr>
            <w:r>
              <w:t xml:space="preserve">2026-04-28</w:t>
            </w:r>
          </w:p>
        </w:tc>
        <w:tc>
          <w:tcPr/>
          <w:p>
            <w:pPr>
              <w:pStyle w:val="Compact"/>
            </w:pPr>
            <w:r>
              <w:t xml:space="preserve">Blue Ridge Automation</w:t>
            </w:r>
          </w:p>
        </w:tc>
        <w:tc>
          <w:tcPr/>
          <w:p>
            <w:pPr>
              <w:pStyle w:val="Compact"/>
            </w:pPr>
            <w:r>
              <w:rPr>
                <w:b/>
                <w:bCs/>
              </w:rPr>
              <w:t xml:space="preserve">§3 ContainerConfig —</w:t>
            </w:r>
            <w:r>
              <w:rPr>
                <w:b/>
                <w:bCs/>
              </w:rPr>
              <w:t xml:space="preserve"> </w:t>
            </w:r>
            <w:r>
              <w:rPr>
                <w:rStyle w:val="VerbatimChar"/>
                <w:b/>
                <w:bCs/>
              </w:rPr>
              <w:t xml:space="preserve">ClosureMethod</w:t>
            </w:r>
            <w:r>
              <w:rPr>
                <w:b/>
                <w:bCs/>
              </w:rPr>
              <w:t xml:space="preserve"> </w:t>
            </w:r>
            <w:r>
              <w:rPr>
                <w:b/>
                <w:bCs/>
              </w:rPr>
              <w:t xml:space="preserve">extended with</w:t>
            </w:r>
            <w:r>
              <w:rPr>
                <w:b/>
                <w:bCs/>
              </w:rPr>
              <w:t xml:space="preserve"> </w:t>
            </w:r>
            <w:r>
              <w:rPr>
                <w:rStyle w:val="VerbatimChar"/>
                <w:b/>
                <w:bCs/>
              </w:rPr>
              <w:t xml:space="preserve">ByVision</w:t>
            </w:r>
            <w:r>
              <w:rPr>
                <w:b/>
                <w:bCs/>
              </w:rPr>
              <w:t xml:space="preserve">.</w:t>
            </w:r>
            <w:r>
              <w:t xml:space="preserve"> </w:t>
            </w:r>
            <w:r>
              <w:t xml:space="preserve">Camera-validated container closure added per Jacques’s 2026-04-28 review: a third trigger alongside the existing count and weight modes. Camera validates each part (pass/fail), PLC accumulates the validated count, asserts</w:t>
            </w:r>
            <w:r>
              <w:t xml:space="preserve"> </w:t>
            </w:r>
            <w:r>
              <w:rPr>
                <w:rStyle w:val="VerbatimChar"/>
              </w:rPr>
              <w:t xml:space="preserve">ContainerFullFlag</w:t>
            </w:r>
            <w:r>
              <w:t xml:space="preserve"> </w:t>
            </w:r>
            <w:r>
              <w:t xml:space="preserve">when target met. Code values renamed to UpperCamelCase per project convention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previously documented as</w:t>
            </w:r>
            <w:r>
              <w:t xml:space="preserve"> </w:t>
            </w:r>
            <w:r>
              <w:rPr>
                <w:rStyle w:val="VerbatimChar"/>
              </w:rPr>
              <w:t xml:space="preserve">BY_COUNT</w:t>
            </w:r>
            <w:r>
              <w:t xml:space="preserve"> </w:t>
            </w:r>
            <w:r>
              <w:t xml:space="preserve">/</w:t>
            </w:r>
            <w:r>
              <w:t xml:space="preserve"> </w:t>
            </w:r>
            <w:r>
              <w:rPr>
                <w:rStyle w:val="VerbatimChar"/>
              </w:rPr>
              <w:t xml:space="preserve">BY_WEIGHT</w:t>
            </w:r>
            <w:r>
              <w:t xml:space="preserve">).</w:t>
            </w:r>
            <w:r>
              <w:t xml:space="preserve"> </w:t>
            </w:r>
            <w:r>
              <w:t xml:space="preserve">“Pending OI-02 closure”</w:t>
            </w:r>
            <w:r>
              <w:t xml:space="preserve"> </w:t>
            </w:r>
            <w:r>
              <w:t xml:space="preserve">caveat retired (OI-02 ✅ Resolved 2026-04-24 per OIR v2.14). No schema change —</w:t>
            </w:r>
            <w:r>
              <w:t xml:space="preserve"> </w:t>
            </w:r>
            <w:r>
              <w:rPr>
                <w:rStyle w:val="VerbatimChar"/>
              </w:rPr>
              <w:t xml:space="preserve">ClosureMethod</w:t>
            </w:r>
            <w:r>
              <w:t xml:space="preserve"> </w:t>
            </w:r>
            <w:r>
              <w:t xml:space="preserve">is</w:t>
            </w:r>
            <w:r>
              <w:t xml:space="preserve"> </w:t>
            </w:r>
            <w:r>
              <w:rPr>
                <w:rStyle w:val="VerbatimChar"/>
              </w:rPr>
              <w:t xml:space="preserve">NVARCHAR(20) NULL</w:t>
            </w:r>
            <w:r>
              <w:t xml:space="preserve">; the new value is purely an additional allowed string. FDS-03-017 + FDS-06-014 are authoritative for the per-method mechanics.</w:t>
            </w:r>
          </w:p>
        </w:tc>
      </w:tr>
      <w:tr>
        <w:tc>
          <w:tcPr>
            <w:shd w:val="clear" w:color="auto" w:fill="F2F2F2"/>
          </w:tcPr>
          <w:tcPr/>
          <w:p>
            <w:pPr>
              <w:pStyle w:val="Compact"/>
            </w:pPr>
            <w:r>
              <w:t xml:space="preserve">0.1</w:t>
            </w:r>
          </w:p>
        </w:tc>
        <w:tc>
          <w:tcPr>
            <w:shd w:val="clear" w:color="auto" w:fill="F2F2F2"/>
          </w:tcPr>
          <w:tcPr/>
          <w:p>
            <w:pPr>
              <w:pStyle w:val="Compact"/>
            </w:pPr>
            <w:r>
              <w:t xml:space="preserve">2026-04-02</w:t>
            </w:r>
          </w:p>
        </w:tc>
        <w:tc>
          <w:tcPr>
            <w:shd w:val="clear" w:color="auto" w:fill="F2F2F2"/>
          </w:tcPr>
          <w:tcPr/>
          <w:p>
            <w:pPr>
              <w:pStyle w:val="Compact"/>
            </w:pPr>
            <w:r>
              <w:t xml:space="preserve">Blue Ridge Automation</w:t>
            </w:r>
          </w:p>
        </w:tc>
        <w:tc>
          <w:tcPr>
            <w:shd w:val="clear" w:color="auto" w:fill="F2F2F2"/>
          </w:tcPr>
          <w:tcPr/>
          <w:p>
            <w:pPr>
              <w:pStyle w:val="Compact"/>
            </w:pPr>
            <w:r>
              <w:t xml:space="preserve">Initial data model — 7 schemas, ~50 tables</w:t>
            </w:r>
          </w:p>
        </w:tc>
      </w:tr>
      <w:tr>
        <w:tc>
          <w:tcPr/>
          <w:p>
            <w:pPr>
              <w:pStyle w:val="Compact"/>
            </w:pPr>
            <w:r>
              <w:t xml:space="preserve">0.2</w:t>
            </w:r>
          </w:p>
        </w:tc>
        <w:tc>
          <w:tcPr/>
          <w:p>
            <w:pPr>
              <w:pStyle w:val="Compact"/>
            </w:pPr>
            <w:r>
              <w:t xml:space="preserve">2026-04-09</w:t>
            </w:r>
          </w:p>
        </w:tc>
        <w:tc>
          <w:tcPr/>
          <w:p>
            <w:pPr>
              <w:pStyle w:val="Compact"/>
            </w:pPr>
            <w:r>
              <w:t xml:space="preserve">Blue Ridge Automation</w:t>
            </w:r>
          </w:p>
        </w:tc>
        <w:tc>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shd w:val="clear" w:color="auto" w:fill="F2F2F2"/>
          </w:tcPr>
          <w:tcPr/>
          <w:p>
            <w:pPr>
              <w:pStyle w:val="Compact"/>
            </w:pPr>
            <w:r>
              <w:t xml:space="preserve">0.3</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p>
            <w:pPr>
              <w:pStyle w:val="Compact"/>
            </w:pPr>
            <w:r>
              <w:t xml:space="preserve">0.4</w:t>
            </w:r>
          </w:p>
        </w:tc>
        <w:tc>
          <w:tcPr/>
          <w:p>
            <w:pPr>
              <w:pStyle w:val="Compact"/>
            </w:pPr>
            <w:r>
              <w:t xml:space="preserve">2026-04-10</w:t>
            </w:r>
          </w:p>
        </w:tc>
        <w:tc>
          <w:tcPr/>
          <w:p>
            <w:pPr>
              <w:pStyle w:val="Compact"/>
            </w:pPr>
            <w:r>
              <w:t xml:space="preserve">Blue Ridge Automation</w:t>
            </w:r>
          </w:p>
        </w:tc>
        <w:tc>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shd w:val="clear" w:color="auto" w:fill="F2F2F2"/>
          </w:tcPr>
          <w:tcPr/>
          <w:p>
            <w:pPr>
              <w:pStyle w:val="Compact"/>
            </w:pPr>
            <w:r>
              <w:t xml:space="preserve">0.4.1</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shd w:val="clear" w:color="auto" w:fill="F2F2F2"/>
          </w:tcPr>
          <w:tcPr/>
          <w:p>
            <w:pPr>
              <w:pStyle w:val="Compact"/>
            </w:pPr>
            <w:r>
              <w:t xml:space="preserve">0.5.1</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p>
            <w:pPr>
              <w:pStyle w:val="Compact"/>
            </w:pPr>
            <w:r>
              <w:t xml:space="preserve">0.6</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shd w:val="clear" w:color="auto" w:fill="F2F2F2"/>
          </w:tcPr>
          <w:tcPr/>
          <w:p>
            <w:pPr>
              <w:pStyle w:val="Compact"/>
            </w:pPr>
            <w:r>
              <w:t xml:space="preserve">1.1</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p>
            <w:pPr>
              <w:pStyle w:val="Compact"/>
            </w:pPr>
            <w:r>
              <w:t xml:space="preserve">1.8</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shd w:val="clear" w:color="auto" w:fill="F2F2F2"/>
          </w:tcPr>
          <w:tcPr/>
          <w:p>
            <w:pPr>
              <w:pStyle w:val="Compact"/>
            </w:pPr>
            <w:r>
              <w:t xml:space="preserve">1.9i</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 ShippingLabel — UJ-18 Gateway-script-async print pattern.</w:t>
            </w:r>
            <w:r>
              <w:t xml:space="preserve"> </w:t>
            </w:r>
            <w:r>
              <w:rPr>
                <w:rStyle w:val="VerbatimChar"/>
              </w:rPr>
              <w:t xml:space="preserve">Lots.ShippingLabel</w:t>
            </w:r>
            <w:r>
              <w:t xml:space="preserve"> </w:t>
            </w:r>
            <w:r>
              <w:t xml:space="preserve">+5 columns:</w:t>
            </w:r>
            <w:r>
              <w:t xml:space="preserve"> </w:t>
            </w:r>
            <w:r>
              <w:rPr>
                <w:rStyle w:val="VerbatimChar"/>
              </w:rPr>
              <w:t xml:space="preserve">PrintAttempts INT DEFAULT 0</w:t>
            </w:r>
            <w:r>
              <w:t xml:space="preserve">,</w:t>
            </w:r>
            <w:r>
              <w:t xml:space="preserve"> </w:t>
            </w:r>
            <w:r>
              <w:rPr>
                <w:rStyle w:val="VerbatimChar"/>
              </w:rPr>
              <w:t xml:space="preserve">LastPrintAttemptAt DATETIME2(3) NULL</w:t>
            </w:r>
            <w:r>
              <w:t xml:space="preserve">,</w:t>
            </w:r>
            <w:r>
              <w:t xml:space="preserve"> </w:t>
            </w:r>
            <w:r>
              <w:rPr>
                <w:rStyle w:val="VerbatimChar"/>
              </w:rPr>
              <w:t xml:space="preserve">LastPrintError NVARCHAR(2000) NULL</w:t>
            </w:r>
            <w:r>
              <w:t xml:space="preserve">,</w:t>
            </w:r>
            <w:r>
              <w:t xml:space="preserve"> </w:t>
            </w:r>
            <w:r>
              <w:rPr>
                <w:rStyle w:val="VerbatimChar"/>
              </w:rPr>
              <w:t xml:space="preserve">PrintFailedAt DATETIME2(3) NULL</w:t>
            </w:r>
            <w:r>
              <w:t xml:space="preserve">,</w:t>
            </w:r>
            <w:r>
              <w:t xml:space="preserve"> </w:t>
            </w:r>
            <w:r>
              <w:rPr>
                <w:rStyle w:val="VerbatimChar"/>
              </w:rPr>
              <w:t xml:space="preserve">TerminalLocationId BIGINT FK → Location.Location.Id NULL</w:t>
            </w:r>
            <w:r>
              <w:t xml:space="preserve">. State derivation: Pending =</w:t>
            </w:r>
            <w:r>
              <w:t xml:space="preserve"> </w:t>
            </w:r>
            <w:r>
              <w:rPr>
                <w:rStyle w:val="VerbatimChar"/>
              </w:rPr>
              <w:t xml:space="preserve">PrintedAt IS NULL AND PrintFailedAt IS NULL</w:t>
            </w:r>
            <w:r>
              <w:t xml:space="preserve">; Completed =</w:t>
            </w:r>
            <w:r>
              <w:t xml:space="preserve"> </w:t>
            </w:r>
            <w:r>
              <w:rPr>
                <w:rStyle w:val="VerbatimChar"/>
              </w:rPr>
              <w:t xml:space="preserve">PrintedAt IS NOT NULL</w:t>
            </w:r>
            <w:r>
              <w:t xml:space="preserve">; Failed =</w:t>
            </w:r>
            <w:r>
              <w:t xml:space="preserve"> </w:t>
            </w:r>
            <w:r>
              <w:rPr>
                <w:rStyle w:val="VerbatimChar"/>
              </w:rPr>
              <w:t xml:space="preserve">PrintFailedAt IS NOT NULL</w:t>
            </w:r>
            <w:r>
              <w:t xml:space="preserve">. No separate queue table — print state lives on the audit row. FDS v0.11j companion. SQL deferred to Arc 2 Phase 7 alongside the rest of the Container schema.</w:t>
            </w:r>
          </w:p>
        </w:tc>
      </w:tr>
      <w:tr>
        <w:tc>
          <w:tcPr/>
          <w:p>
            <w:pPr>
              <w:pStyle w:val="Compact"/>
            </w:pPr>
            <w:r>
              <w:t xml:space="preserve">1.9h</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UJ-04 —</w:t>
            </w:r>
            <w:r>
              <w:rPr>
                <w:b/>
                <w:bCs/>
              </w:rPr>
              <w:t xml:space="preserve"> </w:t>
            </w:r>
            <w:r>
              <w:rPr>
                <w:rStyle w:val="VerbatimChar"/>
                <w:b/>
                <w:bCs/>
              </w:rPr>
              <w:t xml:space="preserve">Lots.AimShipperIdPool</w:t>
            </w:r>
            <w:r>
              <w:rPr>
                <w:b/>
                <w:bCs/>
              </w:rPr>
              <w:t xml:space="preserve"> </w:t>
            </w:r>
            <w:r>
              <w:rPr>
                <w:b/>
                <w:bCs/>
              </w:rPr>
              <w:t xml:space="preserve">+</w:t>
            </w:r>
            <w:r>
              <w:rPr>
                <w:b/>
                <w:bCs/>
              </w:rPr>
              <w:t xml:space="preserve"> </w:t>
            </w:r>
            <w:r>
              <w:rPr>
                <w:rStyle w:val="VerbatimChar"/>
                <w:b/>
                <w:bCs/>
              </w:rPr>
              <w:t xml:space="preserve">Lots.AimPoolConfig</w:t>
            </w:r>
            <w:r>
              <w:rPr>
                <w:b/>
                <w:bCs/>
              </w:rPr>
              <w:t xml:space="preserve"> </w:t>
            </w:r>
            <w:r>
              <w:rPr>
                <w:b/>
                <w:bCs/>
              </w:rPr>
              <w:t xml:space="preserve">for synchronous container closure (zero AIM latency).</w:t>
            </w:r>
            <w:r>
              <w:t xml:space="preserve"> </w:t>
            </w:r>
            <w:r>
              <w:t xml:space="preserve">Per Jacques’s 2026-04-27 design lock: AIM Shipper IDs are pre-fetched into a local pool by a background Gateway script and consumed FIFO by</w:t>
            </w:r>
            <w:r>
              <w:t xml:space="preserve"> </w:t>
            </w:r>
            <w:r>
              <w:rPr>
                <w:rStyle w:val="VerbatimChar"/>
              </w:rPr>
              <w:t xml:space="preserve">Container_Complete</w:t>
            </w:r>
            <w:r>
              <w:t xml:space="preserve"> </w:t>
            </w:r>
            <w:r>
              <w:t xml:space="preserve">synchronously — never blocks production on AIM availability. Container closure with an empty pool</w:t>
            </w:r>
            <w:r>
              <w:t xml:space="preserve"> </w:t>
            </w:r>
            <w:r>
              <w:rPr>
                <w:b/>
                <w:bCs/>
              </w:rPr>
              <w:t xml:space="preserve">hard fails</w:t>
            </w:r>
            <w:r>
              <w:t xml:space="preserve"> </w:t>
            </w:r>
            <w:r>
              <w:t xml:space="preserve">(rejects close, operator sees error, line stops). All Assembly Lines have dedicated terminals; AIM IDs attach to Containers only (never sub-assemblies / sub-LOTs). New</w:t>
            </w:r>
            <w:r>
              <w:t xml:space="preserve"> </w:t>
            </w:r>
            <w:r>
              <w:rPr>
                <w:rStyle w:val="VerbatimChar"/>
              </w:rPr>
              <w:t xml:space="preserve">Lots.AimShipperIdPool</w:t>
            </w:r>
            <w:r>
              <w:t xml:space="preserve"> </w:t>
            </w:r>
            <w:r>
              <w:t xml:space="preserve">table:</w:t>
            </w:r>
            <w:r>
              <w:t xml:space="preserve"> </w:t>
            </w:r>
            <w:r>
              <w:rPr>
                <w:rStyle w:val="VerbatimChar"/>
              </w:rPr>
              <w:t xml:space="preserve">AimShipperId</w:t>
            </w:r>
            <w:r>
              <w:t xml:space="preserve"> </w:t>
            </w:r>
            <w:r>
              <w:t xml:space="preserve">(the Honda-issued ID, UNIQUE),</w:t>
            </w:r>
            <w:r>
              <w:t xml:space="preserve"> </w:t>
            </w:r>
            <w:r>
              <w:rPr>
                <w:rStyle w:val="VerbatimChar"/>
              </w:rPr>
              <w:t xml:space="preserve">FetchedAt</w:t>
            </w:r>
            <w:r>
              <w:t xml:space="preserve">,</w:t>
            </w:r>
            <w:r>
              <w:t xml:space="preserve"> </w:t>
            </w:r>
            <w:r>
              <w:rPr>
                <w:rStyle w:val="VerbatimChar"/>
              </w:rPr>
              <w:t xml:space="preserve">FetchedInterfaceLogId</w:t>
            </w:r>
            <w:r>
              <w:t xml:space="preserve"> </w:t>
            </w:r>
            <w:r>
              <w:t xml:space="preserve">FK →</w:t>
            </w:r>
            <w:r>
              <w:t xml:space="preserve"> </w:t>
            </w:r>
            <w:r>
              <w:rPr>
                <w:rStyle w:val="VerbatimChar"/>
              </w:rPr>
              <w:t xml:space="preserve">Audit.InterfaceLog</w:t>
            </w:r>
            <w:r>
              <w:t xml:space="preserve"> </w:t>
            </w:r>
            <w:r>
              <w:t xml:space="preserve">(provenance),</w:t>
            </w:r>
            <w:r>
              <w:t xml:space="preserve"> </w:t>
            </w:r>
            <w:r>
              <w:rPr>
                <w:rStyle w:val="VerbatimChar"/>
              </w:rPr>
              <w:t xml:space="preserve">ConsumedAt</w:t>
            </w:r>
            <w:r>
              <w:t xml:space="preserve"> </w:t>
            </w:r>
            <w:r>
              <w:t xml:space="preserve">/</w:t>
            </w:r>
            <w:r>
              <w:t xml:space="preserve"> </w:t>
            </w:r>
            <w:r>
              <w:rPr>
                <w:rStyle w:val="VerbatimChar"/>
              </w:rPr>
              <w:t xml:space="preserve">ConsumedByContainerId</w:t>
            </w:r>
            <w:r>
              <w:t xml:space="preserve"> </w:t>
            </w:r>
            <w:r>
              <w:t xml:space="preserve">FK →</w:t>
            </w:r>
            <w:r>
              <w:t xml:space="preserve"> </w:t>
            </w:r>
            <w:r>
              <w:rPr>
                <w:rStyle w:val="VerbatimChar"/>
              </w:rPr>
              <w:t xml:space="preserve">Lots.Container</w:t>
            </w:r>
            <w:r>
              <w:t xml:space="preserve"> </w:t>
            </w:r>
            <w:r>
              <w:t xml:space="preserve">/</w:t>
            </w:r>
            <w:r>
              <w:t xml:space="preserve"> </w:t>
            </w:r>
            <w:r>
              <w:rPr>
                <w:rStyle w:val="VerbatimChar"/>
              </w:rPr>
              <w:t xml:space="preserve">ConsumedByUserId</w:t>
            </w:r>
            <w:r>
              <w:t xml:space="preserve"> </w:t>
            </w:r>
            <w:r>
              <w:t xml:space="preserve">FK →</w:t>
            </w:r>
            <w:r>
              <w:t xml:space="preserve"> </w:t>
            </w:r>
            <w:r>
              <w:rPr>
                <w:rStyle w:val="VerbatimChar"/>
              </w:rPr>
              <w:t xml:space="preserve">Location.AppUser</w:t>
            </w:r>
            <w:r>
              <w:t xml:space="preserve"> </w:t>
            </w:r>
            <w:r>
              <w:t xml:space="preserve">(all NULL while available). Filtered index</w:t>
            </w:r>
            <w:r>
              <w:t xml:space="preserve"> </w:t>
            </w:r>
            <w:r>
              <w:rPr>
                <w:rStyle w:val="VerbatimChar"/>
              </w:rPr>
              <w:t xml:space="preserve">IX_AimShipperIdPool_Available (FetchedAt) WHERE ConsumedAt IS NULL</w:t>
            </w:r>
            <w:r>
              <w:t xml:space="preserve"> </w:t>
            </w:r>
            <w:r>
              <w:t xml:space="preserve">drives the FIFO claim.</w:t>
            </w:r>
            <w:r>
              <w:t xml:space="preserve"> </w:t>
            </w:r>
            <w:r>
              <w:rPr>
                <w:b/>
                <w:bCs/>
              </w:rPr>
              <w:t xml:space="preserve">No reuse on void</w:t>
            </w:r>
            <w:r>
              <w:t xml:space="preserve"> </w:t>
            </w:r>
            <w:r>
              <w:t xml:space="preserve">— once</w:t>
            </w:r>
            <w:r>
              <w:t xml:space="preserve"> </w:t>
            </w:r>
            <w:r>
              <w:rPr>
                <w:rStyle w:val="VerbatimChar"/>
              </w:rPr>
              <w:t xml:space="preserve">ConsumedAt</w:t>
            </w:r>
            <w:r>
              <w:t xml:space="preserve"> </w:t>
            </w:r>
            <w:r>
              <w:t xml:space="preserve">is set, the row never returns to available state regardless of subsequent container void / re-pack (Honda treats every issued ID as permanently consumed).</w:t>
            </w:r>
            <w:r>
              <w:t xml:space="preserve"> </w:t>
            </w:r>
            <w:r>
              <w:rPr>
                <w:b/>
                <w:bCs/>
              </w:rPr>
              <w:t xml:space="preserve">No expiry</w:t>
            </w:r>
            <w:r>
              <w:t xml:space="preserve"> </w:t>
            </w:r>
            <w:r>
              <w:t xml:space="preserve">— Honda doesn’t TTL Shipper IDs. New</w:t>
            </w:r>
            <w:r>
              <w:t xml:space="preserve"> </w:t>
            </w:r>
            <w:r>
              <w:rPr>
                <w:rStyle w:val="VerbatimChar"/>
              </w:rPr>
              <w:t xml:space="preserve">Lots.AimPoolConfig</w:t>
            </w:r>
            <w:r>
              <w:t xml:space="preserve"> </w:t>
            </w:r>
            <w:r>
              <w:t xml:space="preserve">single-row table (</w:t>
            </w:r>
            <w:r>
              <w:rPr>
                <w:rStyle w:val="VerbatimChar"/>
              </w:rPr>
              <w:t xml:space="preserve">Id INT CHECK Id=1</w:t>
            </w:r>
            <w:r>
              <w:t xml:space="preserve">) holds the operator-configurable thresholds:</w:t>
            </w:r>
            <w:r>
              <w:t xml:space="preserve"> </w:t>
            </w:r>
            <w:r>
              <w:rPr>
                <w:rStyle w:val="VerbatimChar"/>
              </w:rPr>
              <w:t xml:space="preserve">TargetBufferDepth INT DEFAULT 50</w:t>
            </w:r>
            <w:r>
              <w:t xml:space="preserve">,</w:t>
            </w:r>
            <w:r>
              <w:t xml:space="preserve"> </w:t>
            </w:r>
            <w:r>
              <w:rPr>
                <w:rStyle w:val="VerbatimChar"/>
              </w:rPr>
              <w:t xml:space="preserve">TopupThreshold INT DEFAULT 30</w:t>
            </w:r>
            <w:r>
              <w:t xml:space="preserve"> </w:t>
            </w:r>
            <w:r>
              <w:t xml:space="preserve">(topup script refills toward target when below this),</w:t>
            </w:r>
            <w:r>
              <w:t xml:space="preserve"> </w:t>
            </w:r>
            <w:r>
              <w:rPr>
                <w:rStyle w:val="VerbatimChar"/>
              </w:rPr>
              <w:t xml:space="preserve">AlarmWarningDepth INT DEFAULT 20</w:t>
            </w:r>
            <w:r>
              <w:t xml:space="preserve"> </w:t>
            </w:r>
            <w:r>
              <w:t xml:space="preserve">(supervisor wallboard tile),</w:t>
            </w:r>
            <w:r>
              <w:t xml:space="preserve"> </w:t>
            </w:r>
            <w:r>
              <w:rPr>
                <w:rStyle w:val="VerbatimChar"/>
              </w:rPr>
              <w:t xml:space="preserve">AlarmCriticalDepth INT DEFAULT 10</w:t>
            </w:r>
            <w:r>
              <w:t xml:space="preserve"> </w:t>
            </w:r>
            <w:r>
              <w:t xml:space="preserve">(supervisor alarm + IT notification). Configuration Tool exposes the four thresholds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Procs (Arc 2 Phase 7):</w:t>
            </w:r>
            <w:r>
              <w:t xml:space="preserve"> </w:t>
            </w:r>
            <w:r>
              <w:rPr>
                <w:rStyle w:val="VerbatimChar"/>
              </w:rPr>
              <w:t xml:space="preserve">Lots.AimShipperIdPool_Claim</w:t>
            </w:r>
            <w:r>
              <w:t xml:space="preserve"> </w:t>
            </w:r>
            <w:r>
              <w:t xml:space="preserve">(atomic FIFO claim using</w:t>
            </w:r>
            <w:r>
              <w:t xml:space="preserve"> </w:t>
            </w:r>
            <w:r>
              <w:rPr>
                <w:rStyle w:val="VerbatimChar"/>
              </w:rPr>
              <w:t xml:space="preserve">UPDATE TOP (1) WITH (UPDLOCK, READPAST, ROWLOCK) ... OUTPUT ... ORDER BY FetchedAt</w:t>
            </w:r>
            <w:r>
              <w:t xml:space="preserve">, raises on empty pool — caller’s transaction ROLLBACKs the container close),</w:t>
            </w:r>
            <w:r>
              <w:t xml:space="preserve"> </w:t>
            </w:r>
            <w:r>
              <w:rPr>
                <w:rStyle w:val="VerbatimChar"/>
              </w:rPr>
              <w:t xml:space="preserve">_Topup</w:t>
            </w:r>
            <w:r>
              <w:t xml:space="preserve">,</w:t>
            </w:r>
            <w:r>
              <w:t xml:space="preserve"> </w:t>
            </w:r>
            <w:r>
              <w:rPr>
                <w:rStyle w:val="VerbatimChar"/>
              </w:rPr>
              <w:t xml:space="preserve">_GetDepth</w:t>
            </w:r>
            <w:r>
              <w:t xml:space="preserve">,</w:t>
            </w:r>
            <w:r>
              <w:t xml:space="preserve"> </w:t>
            </w:r>
            <w:r>
              <w:rPr>
                <w:rStyle w:val="VerbatimChar"/>
              </w:rPr>
              <w:t xml:space="preserve">_GetByContainer</w:t>
            </w:r>
            <w:r>
              <w:t xml:space="preserve">.</w:t>
            </w:r>
            <w:r>
              <w:t xml:space="preserve"> </w:t>
            </w:r>
            <w:r>
              <w:rPr>
                <w:rStyle w:val="VerbatimChar"/>
              </w:rPr>
              <w:t xml:space="preserve">Audit.LogEntityType</w:t>
            </w:r>
            <w:r>
              <w:t xml:space="preserve"> </w:t>
            </w:r>
            <w:r>
              <w:t xml:space="preserve">+2 rows (</w:t>
            </w:r>
            <w:r>
              <w:rPr>
                <w:rStyle w:val="VerbatimChar"/>
              </w:rPr>
              <w:t xml:space="preserve">AimShipperIdPool</w:t>
            </w:r>
            <w:r>
              <w:t xml:space="preserve">,</w:t>
            </w:r>
            <w:r>
              <w:t xml:space="preserve"> </w:t>
            </w:r>
            <w:r>
              <w:rPr>
                <w:rStyle w:val="VerbatimChar"/>
              </w:rPr>
              <w:t xml:space="preserve">AimPoolConfig</w:t>
            </w:r>
            <w:r>
              <w:t xml:space="preserve">) at Arc 2 Phase 7. SQL deferred to Arc 2 Phase 7 (Container schema doesn’t yet exist either).</w:t>
            </w:r>
          </w:p>
        </w:tc>
      </w:tr>
      <w:tr>
        <w:tc>
          <w:tcPr>
            <w:shd w:val="clear" w:color="auto" w:fill="F2F2F2"/>
          </w:tcPr>
          <w:tcPr/>
          <w:p>
            <w:pPr>
              <w:pStyle w:val="Compact"/>
            </w:pPr>
            <w:r>
              <w:t xml:space="preserve">1.9g</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OI-21 —</w:t>
            </w:r>
            <w:r>
              <w:rPr>
                <w:b/>
                <w:bCs/>
              </w:rPr>
              <w:t xml:space="preserve"> </w:t>
            </w:r>
            <w:r>
              <w:rPr>
                <w:rStyle w:val="VerbatimChar"/>
                <w:b/>
                <w:bCs/>
              </w:rPr>
              <w:t xml:space="preserve">Lots.PauseEvent</w:t>
            </w:r>
            <w:r>
              <w:rPr>
                <w:b/>
                <w:bCs/>
              </w:rPr>
              <w:t xml:space="preserve"> </w:t>
            </w:r>
            <w:r>
              <w:rPr>
                <w:b/>
                <w:bCs/>
              </w:rPr>
              <w:t xml:space="preserve">table for Pausable LOT at Workstation.</w:t>
            </w:r>
            <w:r>
              <w:t xml:space="preserve"> </w:t>
            </w:r>
            <w:r>
              <w:t xml:space="preserve">Per Jacques’s 2026-04-27 design lock: pause is a (Lot, Location) lifecycle event — operator pauses a partially-progressed LOT at a Cell to attend to a different LOT at the same Cell, returns later (could be the next shift, by a different operator). New append-only table</w:t>
            </w:r>
            <w:r>
              <w:t xml:space="preserve"> </w:t>
            </w:r>
            <w:r>
              <w:rPr>
                <w:rStyle w:val="VerbatimChar"/>
              </w:rPr>
              <w:t xml:space="preserve">Lots.PauseEvent</w:t>
            </w:r>
            <w:r>
              <w:t xml:space="preserve"> </w:t>
            </w:r>
            <w:r>
              <w:t xml:space="preserve">with open + close lifecycle (mirrors</w:t>
            </w:r>
            <w:r>
              <w:t xml:space="preserve"> </w:t>
            </w:r>
            <w:r>
              <w:rPr>
                <w:rStyle w:val="VerbatimChar"/>
              </w:rPr>
              <w:t xml:space="preserve">Quality.HoldEvent</w:t>
            </w:r>
            <w:r>
              <w:t xml:space="preserve"> </w:t>
            </w:r>
            <w:r>
              <w:t xml:space="preserve">shape):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PausedByUserId</w:t>
            </w:r>
            <w:r>
              <w:t xml:space="preserve">,</w:t>
            </w:r>
            <w:r>
              <w:t xml:space="preserve"> </w:t>
            </w:r>
            <w:r>
              <w:rPr>
                <w:rStyle w:val="VerbatimChar"/>
              </w:rPr>
              <w:t xml:space="preserve">PausedAt</w:t>
            </w:r>
            <w:r>
              <w:t xml:space="preserve">, optional</w:t>
            </w:r>
            <w:r>
              <w:t xml:space="preserve"> </w:t>
            </w:r>
            <w:r>
              <w:rPr>
                <w:rStyle w:val="VerbatimChar"/>
              </w:rPr>
              <w:t xml:space="preserve">PausedReason</w:t>
            </w:r>
            <w:r>
              <w:t xml:space="preserve">, nullable</w:t>
            </w:r>
            <w:r>
              <w:t xml:space="preserve"> </w:t>
            </w:r>
            <w:r>
              <w:rPr>
                <w:rStyle w:val="VerbatimChar"/>
              </w:rPr>
              <w:t xml:space="preserve">ResumedByUserId</w:t>
            </w:r>
            <w:r>
              <w:t xml:space="preserve">/</w:t>
            </w:r>
            <w:r>
              <w:rPr>
                <w:rStyle w:val="VerbatimChar"/>
              </w:rPr>
              <w:t xml:space="preserve">ResumedAt</w:t>
            </w:r>
            <w:r>
              <w:t xml:space="preserve">/</w:t>
            </w:r>
            <w:r>
              <w:rPr>
                <w:rStyle w:val="VerbatimChar"/>
              </w:rPr>
              <w:t xml:space="preserve">ResumedRemarks</w:t>
            </w:r>
            <w:r>
              <w:t xml:space="preserve">. CHECK pairing on resume columns; filtered UNIQUE on</w:t>
            </w:r>
            <w:r>
              <w:t xml:space="preserve"> </w:t>
            </w:r>
            <w:r>
              <w:rPr>
                <w:rStyle w:val="VerbatimChar"/>
              </w:rPr>
              <w:t xml:space="preserve">(LotId, LocationId) WHERE ResumedAt IS NULL</w:t>
            </w:r>
            <w:r>
              <w:t xml:space="preserve"> </w:t>
            </w:r>
            <w:r>
              <w:t xml:space="preserve">(at most one open pause per LOT-at-Location — same LOT MAY pause at multiple Cells simultaneously, e.g., Machining + Assembly partial-progress). No TTL — paused LOTs persist indefinitely; manual operational cleanup.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 </w:t>
            </w:r>
            <w:r>
              <w:t xml:space="preserve">and</w:t>
            </w:r>
            <w:r>
              <w:t xml:space="preserve"> </w:t>
            </w:r>
            <w:r>
              <w:rPr>
                <w:rStyle w:val="VerbatimChar"/>
              </w:rPr>
              <w:t xml:space="preserve">Workorder.OperationStatus</w:t>
            </w:r>
            <w:r>
              <w:t xml:space="preserve"> </w:t>
            </w:r>
            <w:r>
              <w:t xml:space="preserve">— no</w:t>
            </w:r>
            <w:r>
              <w:t xml:space="preserve"> </w:t>
            </w:r>
            <w:r>
              <w:rPr>
                <w:rStyle w:val="VerbatimChar"/>
              </w:rPr>
              <w:t xml:space="preserve">Paused</w:t>
            </w:r>
            <w:r>
              <w:t xml:space="preserve"> </w:t>
            </w:r>
            <w:r>
              <w:t xml:space="preserve">rows added to those code tables (WO/WOO are MVP-LITE/invisible per OI-07; pause is a LOT-level operator workflow concept). No</w:t>
            </w:r>
            <w:r>
              <w:t xml:space="preserve"> </w:t>
            </w:r>
            <w:r>
              <w:rPr>
                <w:rStyle w:val="VerbatimChar"/>
              </w:rPr>
              <w:t xml:space="preserve">Paused</w:t>
            </w:r>
            <w:r>
              <w:t xml:space="preserve"> </w:t>
            </w:r>
            <w:r>
              <w:t xml:space="preserve">row added to</w:t>
            </w:r>
            <w:r>
              <w:t xml:space="preserve"> </w:t>
            </w:r>
            <w:r>
              <w:rPr>
                <w:rStyle w:val="VerbatimChar"/>
              </w:rPr>
              <w:t xml:space="preserve">Lots.LotStatusCode</w:t>
            </w:r>
            <w:r>
              <w:t xml:space="preserve"> </w:t>
            </w:r>
            <w:r>
              <w:t xml:space="preserve">— pause is a transient operator focus shift, not a LOT quality status.</w:t>
            </w:r>
            <w:r>
              <w:t xml:space="preserve"> </w:t>
            </w:r>
            <w:r>
              <w:rPr>
                <w:rStyle w:val="VerbatimChar"/>
              </w:rPr>
              <w:t xml:space="preserve">Audit.LogEntityType</w:t>
            </w:r>
            <w:r>
              <w:t xml:space="preserve"> </w:t>
            </w:r>
            <w:r>
              <w:t xml:space="preserve">+1 row (</w:t>
            </w:r>
            <w:r>
              <w:rPr>
                <w:rStyle w:val="VerbatimChar"/>
              </w:rPr>
              <w:t xml:space="preserve">PauseEvent</w:t>
            </w:r>
            <w:r>
              <w:t xml:space="preserve">) at Arc 2 Phase 1 alongside the rest of the Lots schema CREATE. FDS-05-038 authoritative. SQL deferred to Arc 2 Phase 1 (Lots schema does not yet exist in the Phase 1–8 codebase).</w:t>
            </w:r>
          </w:p>
        </w:tc>
      </w:tr>
      <w:tr>
        <w:tc>
          <w:tcPr/>
          <w:p>
            <w:pPr>
              <w:pStyle w:val="Compact"/>
            </w:pPr>
            <w:r>
              <w:t xml:space="preserve">1.9f</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OI-16 additions —</w:t>
            </w:r>
            <w:r>
              <w:rPr>
                <w:b/>
                <w:bCs/>
              </w:rPr>
              <w:t xml:space="preserve"> </w:t>
            </w:r>
            <w:r>
              <w:rPr>
                <w:rStyle w:val="VerbatimChar"/>
                <w:b/>
                <w:bCs/>
              </w:rPr>
              <w:t xml:space="preserve">RequiresCompletionConfirm</w:t>
            </w:r>
            <w:r>
              <w:rPr>
                <w:b/>
                <w:bCs/>
              </w:rPr>
              <w:t xml:space="preserve"> </w:t>
            </w:r>
            <w:r>
              <w:rPr>
                <w:b/>
                <w:bCs/>
              </w:rPr>
              <w:t xml:space="preserve">LocationAttribute on</w:t>
            </w:r>
            <w:r>
              <w:rPr>
                <w:b/>
                <w:bCs/>
              </w:rPr>
              <w:t xml:space="preserve"> </w:t>
            </w:r>
            <w:r>
              <w:rPr>
                <w:rStyle w:val="VerbatimChar"/>
                <w:b/>
                <w:bCs/>
              </w:rPr>
              <w:t xml:space="preserve">Terminal</w:t>
            </w:r>
            <w:r>
              <w:rPr>
                <w:b/>
                <w:bCs/>
              </w:rPr>
              <w:t xml:space="preserve">.</w:t>
            </w:r>
            <w:r>
              <w:t xml:space="preserve"> </w:t>
            </w:r>
            <w:r>
              <w:t xml:space="preserve">Per Jacques’s 2026-04-24 OIR review: new</w:t>
            </w:r>
            <w:r>
              <w:t xml:space="preserve"> </w:t>
            </w:r>
            <w:r>
              <w:rPr>
                <w:rStyle w:val="VerbatimChar"/>
              </w:rPr>
              <w:t xml:space="preserve">LocationAttributeDefinition</w:t>
            </w:r>
            <w:r>
              <w:t xml:space="preserve"> </w:t>
            </w:r>
            <w:r>
              <w:t xml:space="preserve">seed row on the</w:t>
            </w:r>
            <w:r>
              <w:t xml:space="preserve"> </w:t>
            </w:r>
            <w:r>
              <w:rPr>
                <w:rStyle w:val="VerbatimChar"/>
              </w:rPr>
              <w:t xml:space="preserve">Terminal</w:t>
            </w:r>
            <w:r>
              <w:t xml:space="preserve"> </w:t>
            </w:r>
            <w:r>
              <w:rPr>
                <w:rStyle w:val="VerbatimChar"/>
              </w:rPr>
              <w:t xml:space="preserve">LocationTypeDefinition</w:t>
            </w:r>
            <w:r>
              <w:t xml:space="preserve"> </w:t>
            </w:r>
            <w:r>
              <w:t xml:space="preserve">with</w:t>
            </w:r>
            <w:r>
              <w:t xml:space="preserve"> </w:t>
            </w:r>
            <w:r>
              <w:rPr>
                <w:rStyle w:val="VerbatimChar"/>
              </w:rPr>
              <w:t xml:space="preserve">Code='RequiresCompletionConfirm'</w:t>
            </w:r>
            <w:r>
              <w:t xml:space="preserve">,</w:t>
            </w:r>
            <w:r>
              <w:t xml:space="preserve"> </w:t>
            </w:r>
            <w:r>
              <w:rPr>
                <w:rStyle w:val="VerbatimChar"/>
              </w:rPr>
              <w:t xml:space="preserve">DataType='Boolean'</w:t>
            </w:r>
            <w:r>
              <w:t xml:space="preserve">,</w:t>
            </w:r>
            <w:r>
              <w:t xml:space="preserve"> </w:t>
            </w:r>
            <w:r>
              <w:rPr>
                <w:rStyle w:val="VerbatimChar"/>
              </w:rPr>
              <w:t xml:space="preserve">IsRequired=0</w:t>
            </w:r>
            <w:r>
              <w:t xml:space="preserve"> </w:t>
            </w:r>
            <w:r>
              <w:t xml:space="preserve">(NULL = no confirm button, treated as 0). Meaningful only on Dedicated Terminals (FDS-02-010). Toggles between</w:t>
            </w:r>
            <w:r>
              <w:t xml:space="preserve"> </w:t>
            </w:r>
            <w:r>
              <w:t xml:space="preserve">“large Confirm Completion button”</w:t>
            </w:r>
            <w:r>
              <w:t xml:space="preserve"> </w:t>
            </w:r>
            <w:r>
              <w:t xml:space="preserve">UX and passive popup UX on the Perspective Assembly view at WO/Tray/Container close. PLC confirmation BIT (expected tag name</w:t>
            </w:r>
            <w:r>
              <w:t xml:space="preserve"> </w:t>
            </w:r>
            <w:r>
              <w:rPr>
                <w:rStyle w:val="VerbatimChar"/>
              </w:rPr>
              <w:t xml:space="preserve">CompletionConfirmed</w:t>
            </w:r>
            <w:r>
              <w:t xml:space="preserve"> </w:t>
            </w:r>
            <w:r>
              <w:t xml:space="preserve">on the MIP) is a Gateway-script concern — no schema column; observed via OPC tag reads and participates in the FDS-06-028 auto-close gate. Phase G LocationAttributeDefinition seed delta: +1 row for</w:t>
            </w:r>
            <w:r>
              <w:t xml:space="preserve"> </w:t>
            </w:r>
            <w:r>
              <w:rPr>
                <w:rStyle w:val="VerbatimChar"/>
              </w:rPr>
              <w:t xml:space="preserve">RequiresCompletionConfirm</w:t>
            </w:r>
            <w:r>
              <w:t xml:space="preserve">. No other schema changes.</w:t>
            </w:r>
          </w:p>
        </w:tc>
      </w:tr>
      <w:tr>
        <w:tc>
          <w:tcPr>
            <w:shd w:val="clear" w:color="auto" w:fill="F2F2F2"/>
          </w:tcPr>
          <w:tcPr/>
          <w:p>
            <w:pPr>
              <w:pStyle w:val="Compact"/>
            </w:pPr>
            <w:r>
              <w:t xml:space="preserve">1.9e</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OI-23 —</w:t>
            </w:r>
            <w:r>
              <w:rPr>
                <w:b/>
                <w:bCs/>
              </w:rPr>
              <w:t xml:space="preserve"> </w:t>
            </w:r>
            <w:r>
              <w:rPr>
                <w:rStyle w:val="VerbatimChar"/>
                <w:b/>
                <w:bCs/>
              </w:rPr>
              <w:t xml:space="preserve">Lots.v_LotDerivedQuantities</w:t>
            </w:r>
            <w:r>
              <w:rPr>
                <w:b/>
                <w:bCs/>
              </w:rPr>
              <w:t xml:space="preserve"> </w:t>
            </w:r>
            <w:r>
              <w:rPr>
                <w:b/>
                <w:bCs/>
              </w:rPr>
              <w:t xml:space="preserve">view for TotalInProcess / InventoryAvailable.</w:t>
            </w:r>
            <w:r>
              <w:t xml:space="preserve"> </w:t>
            </w:r>
            <w:r>
              <w:t xml:space="preserve">Per Jacques’s 2026-04-24 OIR review: LOT derived quantities are computed via a SQL view, not materialized on the</w:t>
            </w:r>
            <w:r>
              <w:t xml:space="preserve"> </w:t>
            </w:r>
            <w:r>
              <w:rPr>
                <w:rStyle w:val="VerbatimChar"/>
              </w:rPr>
              <w:t xml:space="preserve">Lots.Lot</w:t>
            </w:r>
            <w:r>
              <w:t xml:space="preserve"> </w:t>
            </w:r>
            <w:r>
              <w:t xml:space="preserve">row. No columns added to</w:t>
            </w:r>
            <w:r>
              <w:t xml:space="preserve"> </w:t>
            </w:r>
            <w:r>
              <w:rPr>
                <w:rStyle w:val="VerbatimChar"/>
              </w:rPr>
              <w:t xml:space="preserve">Lots.Lot</w:t>
            </w:r>
            <w:r>
              <w:t xml:space="preserve">. New view</w:t>
            </w:r>
            <w:r>
              <w:t xml:space="preserve"> </w:t>
            </w:r>
            <w:r>
              <w:rPr>
                <w:rStyle w:val="VerbatimChar"/>
              </w:rPr>
              <w:t xml:space="preserve">Lots.v_LotDerivedQuantities (LotId, TotalInProcess, InventoryAvailable)</w:t>
            </w:r>
            <w:r>
              <w:t xml:space="preserve"> </w:t>
            </w:r>
            <w:r>
              <w:t xml:space="preserve">joins</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w:t>
            </w:r>
            <w:r>
              <w:t xml:space="preserve"> </w:t>
            </w:r>
            <w:r>
              <w:rPr>
                <w:rStyle w:val="VerbatimChar"/>
              </w:rPr>
              <w:t xml:space="preserve">Σ StartedCount − Σ CompletedCount − Σ ScrappedCount</w:t>
            </w:r>
            <w:r>
              <w:t xml:space="preserve"> </w:t>
            </w:r>
            <w:r>
              <w:t xml:space="preserve">grouped by LocationId) and</w:t>
            </w:r>
            <w:r>
              <w:t xml:space="preserve"> </w:t>
            </w:r>
            <w:r>
              <w:rPr>
                <w:rStyle w:val="VerbatimChar"/>
              </w:rPr>
              <w:t xml:space="preserve">Workorder.ConsumptionEvent</w:t>
            </w:r>
            <w:r>
              <w:t xml:space="preserve"> </w:t>
            </w:r>
            <w:r>
              <w:t xml:space="preserve">(consumed quantities). Arc 2 Phase 2 migration creates the view. Read procs join it to base</w:t>
            </w:r>
            <w:r>
              <w:t xml:space="preserve"> </w:t>
            </w:r>
            <w:r>
              <w:rPr>
                <w:rStyle w:val="VerbatimChar"/>
              </w:rPr>
              <w:t xml:space="preserve">Lots.Lot</w:t>
            </w:r>
            <w:r>
              <w:t xml:space="preserve"> </w:t>
            </w:r>
            <w:r>
              <w:t xml:space="preserve">at read time; no on-write maintenance. If performance becomes an issue post-MVP, the view MAY be replaced by an indexed view or materialized table without changing caller contracts. FDS-05-031 revised accordingly.</w:t>
            </w:r>
          </w:p>
        </w:tc>
      </w:tr>
      <w:tr>
        <w:tc>
          <w:tcPr/>
          <w:p>
            <w:pPr>
              <w:pStyle w:val="Compact"/>
            </w:pPr>
            <w:r>
              <w:t xml:space="preserve">1.9d</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OI-18 extension —</w:t>
            </w:r>
            <w:r>
              <w:rPr>
                <w:b/>
                <w:bCs/>
              </w:rPr>
              <w:t xml:space="preserve"> </w:t>
            </w:r>
            <w:r>
              <w:rPr>
                <w:rStyle w:val="VerbatimChar"/>
                <w:b/>
                <w:bCs/>
              </w:rPr>
              <w:t xml:space="preserve">Parts.ItemLocation.LocationId</w:t>
            </w:r>
            <w:r>
              <w:rPr>
                <w:b/>
                <w:bCs/>
              </w:rPr>
              <w:t xml:space="preserve"> </w:t>
            </w:r>
            <w:r>
              <w:rPr>
                <w:b/>
                <w:bCs/>
              </w:rPr>
              <w:t xml:space="preserve">supports Area / WorkCenter / Cell granularity (hierarchy cascade).</w:t>
            </w:r>
            <w:r>
              <w:t xml:space="preserve"> </w:t>
            </w:r>
            <w:r>
              <w:t xml:space="preserve">Per Jacques’s 2026-04-24 OIR review:</w:t>
            </w:r>
            <w:r>
              <w:t xml:space="preserve"> </w:t>
            </w:r>
            <w:r>
              <w:rPr>
                <w:rStyle w:val="VerbatimChar"/>
              </w:rPr>
              <w:t xml:space="preserve">ItemLocation.LocationId</w:t>
            </w:r>
            <w:r>
              <w:t xml:space="preserve"> </w:t>
            </w:r>
            <w:r>
              <w:t xml:space="preserve">already FKs generically to</w:t>
            </w:r>
            <w:r>
              <w:t xml:space="preserve"> </w:t>
            </w:r>
            <w:r>
              <w:rPr>
                <w:rStyle w:val="VerbatimChar"/>
              </w:rPr>
              <w:t xml:space="preserve">Location.Id</w:t>
            </w:r>
            <w:r>
              <w:t xml:space="preserve"> </w:t>
            </w:r>
            <w:r>
              <w:t xml:space="preserve">— no schema change needed. The semantics broaden: an</w:t>
            </w:r>
            <w:r>
              <w:t xml:space="preserve"> </w:t>
            </w:r>
            <w:r>
              <w:rPr>
                <w:rStyle w:val="VerbatimChar"/>
              </w:rPr>
              <w:t xml:space="preserve">ItemLocation</w:t>
            </w:r>
            <w:r>
              <w:t xml:space="preserve"> </w:t>
            </w:r>
            <w:r>
              <w:t xml:space="preserve">row can designate eligibility at any tier (Area, WorkCenter, Cell). When a Part is checked into a specific Cell, compatibility checks cascade UP the Location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there. This enables rules like</w:t>
            </w:r>
            <w:r>
              <w:t xml:space="preserve"> </w:t>
            </w:r>
            <w:r>
              <w:t xml:space="preserve">“Part 5G0 eligible across all of Die Cast Area”</w:t>
            </w:r>
            <w:r>
              <w:t xml:space="preserve"> </w:t>
            </w:r>
            <w:r>
              <w:t xml:space="preserve">with one row, without enumerating every Cell. Consumption metadata (Min/Max/Default/IsConsumptionPoint) retained — orthogonal to the hierarchy extension, orthogonal to OI-12’s</w:t>
            </w:r>
            <w:r>
              <w:t xml:space="preserve"> </w:t>
            </w:r>
            <w:r>
              <w:rPr>
                <w:rStyle w:val="VerbatimChar"/>
              </w:rPr>
              <w:t xml:space="preserve">Item.MaxParts</w:t>
            </w:r>
            <w:r>
              <w:t xml:space="preserve">. New helper proc spec:</w:t>
            </w:r>
            <w:r>
              <w:t xml:space="preserve"> </w:t>
            </w:r>
            <w:r>
              <w:rPr>
                <w:rStyle w:val="VerbatimChar"/>
              </w:rPr>
              <w:t xml:space="preserve">Parts.ItemLocation_IsEligible(@ItemId, @CellLocationId)</w:t>
            </w:r>
            <w:r>
              <w:t xml:space="preserve"> </w:t>
            </w:r>
            <w:r>
              <w:t xml:space="preserve">walks the Location parentage up to Site looking for a matching</w:t>
            </w:r>
            <w:r>
              <w:t xml:space="preserve"> </w:t>
            </w:r>
            <w:r>
              <w:rPr>
                <w:rStyle w:val="VerbatimChar"/>
              </w:rPr>
              <w:t xml:space="preserve">ItemLocation</w:t>
            </w:r>
            <w:r>
              <w:t xml:space="preserve"> </w:t>
            </w:r>
            <w:r>
              <w:t xml:space="preserve">row (walk stops at first match). No column changes; spec doc only this revision.</w:t>
            </w:r>
          </w:p>
        </w:tc>
      </w:tr>
      <w:tr>
        <w:tc>
          <w:tcPr>
            <w:shd w:val="clear" w:color="auto" w:fill="F2F2F2"/>
          </w:tcPr>
          <w:tcPr/>
          <w:p>
            <w:pPr>
              <w:pStyle w:val="Compact"/>
            </w:pPr>
            <w:r>
              <w:t xml:space="preserve">1.9c</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OI-12</w:t>
            </w:r>
            <w:r>
              <w:rPr>
                <w:b/>
                <w:bCs/>
              </w:rPr>
              <w:t xml:space="preserve"> </w:t>
            </w:r>
            <w:r>
              <w:rPr>
                <w:rStyle w:val="VerbatimChar"/>
                <w:b/>
                <w:bCs/>
              </w:rPr>
              <w:t xml:space="preserve">MaxParts</w:t>
            </w:r>
            <w:r>
              <w:rPr>
                <w:b/>
                <w:bCs/>
              </w:rPr>
              <w:t xml:space="preserve"> </w:t>
            </w:r>
            <w:r>
              <w:rPr>
                <w:b/>
                <w:bCs/>
              </w:rPr>
              <w:t xml:space="preserve">moved from</w:t>
            </w:r>
            <w:r>
              <w:rPr>
                <w:b/>
                <w:bCs/>
              </w:rPr>
              <w:t xml:space="preserve"> </w:t>
            </w:r>
            <w:r>
              <w:rPr>
                <w:rStyle w:val="VerbatimChar"/>
                <w:b/>
                <w:bCs/>
              </w:rPr>
              <w:t xml:space="preserve">Parts.ContainerConfig</w:t>
            </w:r>
            <w:r>
              <w:rPr>
                <w:b/>
                <w:bCs/>
              </w:rPr>
              <w:t xml:space="preserve"> </w:t>
            </w:r>
            <w:r>
              <w:rPr>
                <w:b/>
                <w:bCs/>
              </w:rPr>
              <w:t xml:space="preserve">to</w:t>
            </w:r>
            <w:r>
              <w:rPr>
                <w:b/>
                <w:bCs/>
              </w:rPr>
              <w:t xml:space="preserve"> </w:t>
            </w:r>
            <w:r>
              <w:rPr>
                <w:rStyle w:val="VerbatimChar"/>
                <w:b/>
                <w:bCs/>
              </w:rPr>
              <w:t xml:space="preserve">Parts.Item</w:t>
            </w:r>
            <w:r>
              <w:rPr>
                <w:b/>
                <w:bCs/>
              </w:rPr>
              <w:t xml:space="preserve">.</w:t>
            </w:r>
            <w:r>
              <w:t xml:space="preserve"> </w:t>
            </w:r>
            <w:r>
              <w:t xml:space="preserve">Jacques’s 2026-04-24 OIR review flagged the original placement as fundamentally inaccurate —</w:t>
            </w:r>
            <w:r>
              <w:t xml:space="preserve"> </w:t>
            </w:r>
            <w:r>
              <w:rPr>
                <w:rStyle w:val="VerbatimChar"/>
              </w:rPr>
              <w:t xml:space="preserve">MaxParts</w:t>
            </w:r>
            <w:r>
              <w:t xml:space="preserve"> </w:t>
            </w:r>
            <w:r>
              <w:t xml:space="preserve">is a</w:t>
            </w:r>
            <w:r>
              <w:t xml:space="preserve"> </w:t>
            </w:r>
            <w:r>
              <w:rPr>
                <w:b/>
                <w:bCs/>
              </w:rPr>
              <w:t xml:space="preserve">Part attribute</w:t>
            </w:r>
            <w:r>
              <w:t xml:space="preserve"> </w:t>
            </w:r>
            <w:r>
              <w:t xml:space="preserve">evaluated when inventory is checked into a Location, not a container-packing attribute. The column was originally added to</w:t>
            </w:r>
            <w:r>
              <w:t xml:space="preserve"> </w:t>
            </w:r>
            <w:r>
              <w:rPr>
                <w:rStyle w:val="VerbatimChar"/>
              </w:rPr>
              <w:t xml:space="preserve">Parts.ContainerConfig</w:t>
            </w:r>
            <w:r>
              <w:t xml:space="preserve"> </w:t>
            </w:r>
            <w:r>
              <w:t xml:space="preserve">in v1.8 (landed Phase G migration</w:t>
            </w:r>
            <w:r>
              <w:t xml:space="preserve"> </w:t>
            </w:r>
            <w:r>
              <w:rPr>
                <w:rStyle w:val="VerbatimChar"/>
              </w:rPr>
              <w:t xml:space="preserve">0010</w:t>
            </w:r>
            <w:r>
              <w:t xml:space="preserve">); this revision relocates it. New column:</w:t>
            </w:r>
            <w:r>
              <w:t xml:space="preserve"> </w:t>
            </w:r>
            <w:r>
              <w:rPr>
                <w:rStyle w:val="VerbatimChar"/>
              </w:rPr>
              <w:t xml:space="preserve">Parts.Item.MaxParts INT NULL</w:t>
            </w:r>
            <w:r>
              <w:t xml:space="preserve"> </w:t>
            </w:r>
            <w:r>
              <w:t xml:space="preserve">— hard cap on pieces of this Item allowed at any single Location. Scan-in mutation sums existing pieces of this Item at the destination Location + incoming quantity and rejects if the result would exceed</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w:t>
            </w:r>
            <w:r>
              <w:rPr>
                <w:rStyle w:val="VerbatimChar"/>
              </w:rPr>
              <w:t xml:space="preserve">LocationAttribute</w:t>
            </w:r>
            <w:r>
              <w:t xml:space="preserve"> </w:t>
            </w:r>
            <w:r>
              <w:t xml:space="preserve">on Cell, per-Location aggregate cap across all Items) — the two are orthogonal per Jacques’s confirmation.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FDS-03-019 + ERD + test suite</w:t>
            </w:r>
            <w:r>
              <w:t xml:space="preserve"> </w:t>
            </w:r>
            <w:r>
              <w:rPr>
                <w:rStyle w:val="VerbatimChar"/>
              </w:rPr>
              <w:t xml:space="preserve">0019</w:t>
            </w:r>
            <w:r>
              <w:t xml:space="preserve">.</w:t>
            </w:r>
          </w:p>
        </w:tc>
      </w:tr>
      <w:tr>
        <w:tc>
          <w:tcPr/>
          <w:p>
            <w:pPr>
              <w:pStyle w:val="Compact"/>
            </w:pPr>
            <w:r>
              <w:t xml:space="preserve">1.9b</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OI-07 correction —</w:t>
            </w:r>
            <w:r>
              <w:rPr>
                <w:b/>
                <w:bCs/>
              </w:rPr>
              <w:t xml:space="preserve"> </w:t>
            </w:r>
            <w:r>
              <w:rPr>
                <w:rStyle w:val="VerbatimChar"/>
                <w:b/>
                <w:bCs/>
              </w:rPr>
              <w:t xml:space="preserve">Workorder.WorkOrderType</w:t>
            </w:r>
            <w:r>
              <w:rPr>
                <w:b/>
                <w:bCs/>
              </w:rPr>
              <w:t xml:space="preserve"> </w:t>
            </w:r>
            <w:r>
              <w:rPr>
                <w:b/>
                <w:bCs/>
              </w:rPr>
              <w:t xml:space="preserve">seed corrected to</w:t>
            </w:r>
            <w:r>
              <w:rPr>
                <w:b/>
                <w:bCs/>
              </w:rPr>
              <w:t xml:space="preserve"> </w:t>
            </w:r>
            <w:r>
              <w:rPr>
                <w:rStyle w:val="VerbatimChar"/>
                <w:b/>
                <w:bCs/>
              </w:rPr>
              <w:t xml:space="preserve">Production</w:t>
            </w:r>
            <w:r>
              <w:rPr>
                <w:b/>
                <w:bCs/>
              </w:rPr>
              <w:t xml:space="preserve"> </w:t>
            </w:r>
            <w:r>
              <w:rPr>
                <w:b/>
                <w:bCs/>
              </w:rPr>
              <w:t xml:space="preserve">only.</w:t>
            </w:r>
            <w:r>
              <w:t xml:space="preserve"> </w:t>
            </w:r>
            <w:r>
              <w:t xml:space="preserve">Jacques clarified the 2026-04-20 meeting note was mis-recorded: the</w:t>
            </w:r>
            <w:r>
              <w:t xml:space="preserve"> </w:t>
            </w:r>
            <w:r>
              <w:t xml:space="preserve">“Recipe”</w:t>
            </w:r>
            <w:r>
              <w:t xml:space="preserve"> </w:t>
            </w:r>
            <w:r>
              <w:t xml:space="preserve">line was actually describing the</w:t>
            </w:r>
            <w:r>
              <w:t xml:space="preserve"> </w:t>
            </w:r>
            <w:r>
              <w:rPr>
                <w:b/>
                <w:bCs/>
              </w:rPr>
              <w:t xml:space="preserve">Production</w:t>
            </w:r>
            <w:r>
              <w:t xml:space="preserve"> </w:t>
            </w:r>
            <w:r>
              <w:t xml:space="preserve">work orders already modelled (MVP-LITE, auto-generated, invisible to operators), not a separate Recipe type. Under MPP’s actual taxonomy,</w:t>
            </w:r>
            <w:r>
              <w:t xml:space="preserve"> </w:t>
            </w:r>
            <w:r>
              <w:rPr>
                <w:rStyle w:val="VerbatimChar"/>
              </w:rPr>
              <w:t xml:space="preserve">Demand</w:t>
            </w:r>
            <w:r>
              <w:t xml:space="preserve"> </w:t>
            </w:r>
            <w:r>
              <w:t xml:space="preserve">= planned preventative maintenance (FUTURE) and</w:t>
            </w:r>
            <w:r>
              <w:t xml:space="preserve"> </w:t>
            </w:r>
            <w:r>
              <w:rPr>
                <w:rStyle w:val="VerbatimChar"/>
              </w:rPr>
              <w:t xml:space="preserve">Maintenance</w:t>
            </w:r>
            <w:r>
              <w:t xml:space="preserve"> </w:t>
            </w:r>
            <w:r>
              <w:t xml:space="preserve">= emergency maintenance (FUTURE); neither is being built in this project. Seed changes (documented here; SQL correction migration queued — shipped Phase G migration</w:t>
            </w:r>
            <w:r>
              <w:t xml:space="preserve"> </w:t>
            </w:r>
            <w:r>
              <w:rPr>
                <w:rStyle w:val="VerbatimChar"/>
              </w:rPr>
              <w:t xml:space="preserve">0010</w:t>
            </w:r>
            <w:r>
              <w:t xml:space="preserve"> </w:t>
            </w:r>
            <w:r>
              <w:t xml:space="preserve">has 3 rows at Ids 1/2/3 that need correcting via a follow-up migration): rename Id=1</w:t>
            </w:r>
            <w:r>
              <w:t xml:space="preserve"> </w:t>
            </w:r>
            <w:r>
              <w:rPr>
                <w:rStyle w:val="VerbatimChar"/>
              </w:rPr>
              <w:t xml:space="preserve">Demand</w:t>
            </w:r>
            <w:r>
              <w:t xml:space="preserve">→</w:t>
            </w:r>
            <w:r>
              <w:rPr>
                <w:rStyle w:val="VerbatimChar"/>
              </w:rPr>
              <w:t xml:space="preserve">Production</w:t>
            </w:r>
            <w:r>
              <w:t xml:space="preserve">, DELETE Ids 2 (</w:t>
            </w:r>
            <w:r>
              <w:rPr>
                <w:rStyle w:val="VerbatimChar"/>
              </w:rPr>
              <w:t xml:space="preserve">Maintenance</w:t>
            </w:r>
            <w:r>
              <w:t xml:space="preserve">) and 3 (</w:t>
            </w:r>
            <w:r>
              <w:rPr>
                <w:rStyle w:val="VerbatimChar"/>
              </w:rPr>
              <w:t xml:space="preserve">Recipe</w:t>
            </w:r>
            <w:r>
              <w:t xml:space="preserve">). Code table</w:t>
            </w:r>
            <w:r>
              <w:t xml:space="preserve"> </w:t>
            </w:r>
            <w:r>
              <w:rPr>
                <w:b/>
                <w:bCs/>
              </w:rPr>
              <w:t xml:space="preserve">mechanism</w:t>
            </w:r>
            <w:r>
              <w:t xml:space="preserve"> </w:t>
            </w:r>
            <w:r>
              <w:t xml:space="preserve">stays as a future hook — future maintenance-engine project INSERTs</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w:t>
            </w:r>
            <w:r>
              <w:t xml:space="preserve"> </w:t>
            </w:r>
            <w:r>
              <w:rPr>
                <w:rStyle w:val="VerbatimChar"/>
              </w:rPr>
              <w:t xml:space="preserve">Workorder.WorkOrder.ToolId</w:t>
            </w:r>
            <w:r>
              <w:t xml:space="preserve"> </w:t>
            </w:r>
            <w:r>
              <w:t xml:space="preserve">FK to</w:t>
            </w:r>
            <w:r>
              <w:t xml:space="preserve"> </w:t>
            </w:r>
            <w:r>
              <w:rPr>
                <w:rStyle w:val="VerbatimChar"/>
              </w:rPr>
              <w:t xml:space="preserve">Tools.Tool</w:t>
            </w:r>
            <w:r>
              <w:t xml:space="preserve"> </w:t>
            </w:r>
            <w:r>
              <w:t xml:space="preserve">stays as a hook for future Maintenance WOs targeting a Tool. No changes to the code table schema itself. Downstream docs updated: OIR v2.9 OI-07 rewrite, FDS v0.11 §6.10 rename + FDS-06-027 deletion, Arc 2 Plan v0.2 overlay, ERD Workorder + Master tabs.</w:t>
            </w:r>
          </w:p>
        </w:tc>
      </w:tr>
      <w:tr>
        <w:tc>
          <w:tcPr>
            <w:shd w:val="clear" w:color="auto" w:fill="F2F2F2"/>
          </w:tcPr>
          <w:tcPr/>
          <w:p>
            <w:pPr>
              <w:pStyle w:val="Compact"/>
            </w:pPr>
            <w:r>
              <w:t xml:space="preserve">1.9</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Tool/Cavity promoted to</w:t>
            </w:r>
            <w:r>
              <w:rPr>
                <w:b/>
                <w:bCs/>
              </w:rPr>
              <w:t xml:space="preserve"> </w:t>
            </w:r>
            <w:r>
              <w:rPr>
                <w:rStyle w:val="VerbatimChar"/>
                <w:b/>
                <w:bCs/>
              </w:rPr>
              <w:t xml:space="preserve">Lots.Lot</w:t>
            </w:r>
            <w:r>
              <w:rPr>
                <w:b/>
                <w:bCs/>
              </w:rPr>
              <w:t xml:space="preserve">,</w:t>
            </w:r>
            <w:r>
              <w:rPr>
                <w:b/>
                <w:bCs/>
              </w:rPr>
              <w:t xml:space="preserve"> </w:t>
            </w:r>
            <w:r>
              <w:rPr>
                <w:rStyle w:val="VerbatimChar"/>
                <w:b/>
                <w:bCs/>
              </w:rPr>
              <w:t xml:space="preserve">Workorder.ProductionEvent</w:t>
            </w:r>
            <w:r>
              <w:rPr>
                <w:b/>
                <w:bCs/>
              </w:rPr>
              <w:t xml:space="preserve"> </w:t>
            </w:r>
            <w:r>
              <w:rPr>
                <w:b/>
                <w:bCs/>
              </w:rPr>
              <w:t xml:space="preserve">reshaped as checkpoint table, new</w:t>
            </w:r>
            <w:r>
              <w:rPr>
                <w:b/>
                <w:bCs/>
              </w:rPr>
              <w:t xml:space="preserve"> </w:t>
            </w:r>
            <w:r>
              <w:rPr>
                <w:rStyle w:val="VerbatimChar"/>
                <w:b/>
                <w:bCs/>
              </w:rPr>
              <w:t xml:space="preserve">Lots.IdentifierSequence</w:t>
            </w:r>
            <w:r>
              <w:rPr>
                <w:b/>
                <w:bCs/>
              </w:rPr>
              <w:t xml:space="preserve"> </w:t>
            </w:r>
            <w:r>
              <w:rPr>
                <w:b/>
                <w:bCs/>
              </w:rPr>
              <w:t xml:space="preserve">table,</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Four changes land:</w:t>
            </w:r>
            <w:r>
              <w:rPr>
                <w:b/>
                <w:bCs/>
              </w:rPr>
              <w:t xml:space="preserve">(1)</w:t>
            </w:r>
            <w:r>
              <w:rPr>
                <w:b/>
                <w:bCs/>
              </w:rPr>
              <w:t xml:space="preserve"> </w:t>
            </w:r>
            <w:r>
              <w:rPr>
                <w:rStyle w:val="VerbatimChar"/>
                <w:b/>
                <w:bCs/>
              </w:rPr>
              <w:t xml:space="preserve">Lots.Lot</w:t>
            </w:r>
            <w:r>
              <w:rPr>
                <w:b/>
                <w:bCs/>
              </w:rPr>
              <w:t xml:space="preserve"> </w:t>
            </w:r>
            <w:r>
              <w:rPr>
                <w:b/>
                <w:bCs/>
              </w:rPr>
              <w:t xml:space="preserve">ADDs</w:t>
            </w:r>
            <w:r>
              <w:rPr>
                <w:b/>
                <w:bCs/>
              </w:rPr>
              <w:t xml:space="preserve"> </w:t>
            </w:r>
            <w:r>
              <w:rPr>
                <w:rStyle w:val="VerbatimChar"/>
                <w:b/>
                <w:bCs/>
              </w:rPr>
              <w:t xml:space="preserve">ToolId BIGINT NULL FK → Tools.Tool.Id</w:t>
            </w:r>
            <w:r>
              <w:rPr>
                <w:b/>
                <w:bCs/>
              </w:rPr>
              <w:t xml:space="preserve"> </w:t>
            </w:r>
            <w:r>
              <w:rPr>
                <w:b/>
                <w:bCs/>
              </w:rPr>
              <w:t xml:space="preserve">and</w:t>
            </w:r>
            <w:r>
              <w:rPr>
                <w:b/>
                <w:bCs/>
              </w:rPr>
              <w:t xml:space="preserve"> </w:t>
            </w:r>
            <w:r>
              <w:rPr>
                <w:rStyle w:val="VerbatimChar"/>
                <w:b/>
                <w:bCs/>
              </w:rPr>
              <w:t xml:space="preserve">ToolCavityId BIGINT NULL FK → Tools.ToolCavity.Id</w:t>
            </w:r>
            <w:r>
              <w:rPr>
                <w:b/>
                <w:bCs/>
              </w:rPr>
              <w:t xml:space="preserve">.</w:t>
            </w:r>
            <w:r>
              <w:t xml:space="preserve"> </w:t>
            </w:r>
            <w:r>
              <w:t xml:space="preserve">Required at</w:t>
            </w:r>
            <w:r>
              <w:t xml:space="preserve"> </w:t>
            </w:r>
            <w:r>
              <w:rPr>
                <w:rStyle w:val="VerbatimChar"/>
              </w:rPr>
              <w:t xml:space="preserve">Lot_Create</w:t>
            </w:r>
            <w:r>
              <w:t xml:space="preserve"> </w:t>
            </w:r>
            <w:r>
              <w:t xml:space="preserve">for die-cast-origin LOTs (validated against</w:t>
            </w:r>
            <w:r>
              <w:t xml:space="preserve"> </w:t>
            </w:r>
            <w:r>
              <w:rPr>
                <w:rStyle w:val="VerbatimChar"/>
              </w:rPr>
              <w:t xml:space="preserve">ToolAssignment_ListActiveByCell</w:t>
            </w:r>
            <w:r>
              <w:t xml:space="preserve"> </w:t>
            </w:r>
            <w:r>
              <w:t xml:space="preserve">+ Cavity belongs to Tool + Cavity Active). NULL for all other origins (Received, Trim / Machining intermediate, Assembly, Serialized). NULL after</w:t>
            </w:r>
            <w:r>
              <w:t xml:space="preserve"> </w:t>
            </w:r>
            <w:r>
              <w:rPr>
                <w:rStyle w:val="VerbatimChar"/>
              </w:rPr>
              <w:t xml:space="preserve">Lot_Merge</w:t>
            </w:r>
            <w:r>
              <w:t xml:space="preserve"> </w:t>
            </w:r>
            <w:r>
              <w:t xml:space="preserve">on blended-origin LOTs. Downstream LOTs do NOT inherit — Honda-trace via</w:t>
            </w:r>
            <w:r>
              <w:t xml:space="preserve"> </w:t>
            </w:r>
            <w:r>
              <w:rPr>
                <w:rStyle w:val="VerbatimChar"/>
              </w:rPr>
              <w:t xml:space="preserve">LotGenealogy</w:t>
            </w:r>
            <w:r>
              <w:t xml:space="preserve"> </w:t>
            </w:r>
            <w:r>
              <w:t xml:space="preserve">recursive traversal. Codifies OI-09: a die-cast machine with N active cavities produces</w:t>
            </w:r>
            <w:r>
              <w:t xml:space="preserve"> </w:t>
            </w:r>
            <w:r>
              <w:rPr>
                <w:b/>
                <w:bCs/>
              </w:rPr>
              <w:t xml:space="preserve">N parallel independent LOTs, not sublots</w:t>
            </w:r>
            <w:r>
              <w:t xml:space="preserve"> </w:t>
            </w:r>
            <w:r>
              <w:t xml:space="preserve">(each LOT fills at its own rate, closes independently, no parent/child FK between cavity peers). Pre-v1.9</w:t>
            </w:r>
            <w:r>
              <w:t xml:space="preserve"> </w:t>
            </w:r>
            <w:r>
              <w:rPr>
                <w:rStyle w:val="VerbatimChar"/>
              </w:rPr>
              <w:t xml:space="preserve">Lot.DieNumber NVARCHAR(50)</w:t>
            </w:r>
            <w:r>
              <w:t xml:space="preserve"> </w:t>
            </w:r>
            <w:r>
              <w:t xml:space="preserve">+</w:t>
            </w:r>
            <w:r>
              <w:t xml:space="preserve"> </w:t>
            </w:r>
            <w:r>
              <w:rPr>
                <w:rStyle w:val="VerbatimChar"/>
              </w:rPr>
              <w:t xml:space="preserve">Lot.CavityNumber NVARCHAR(50)</w:t>
            </w:r>
            <w:r>
              <w:t xml:space="preserve"> </w:t>
            </w:r>
            <w:r>
              <w:t xml:space="preserve">columns are now legacy — retained in this release for any future migration script that needs them during cutover, slated for removal in a follow-up migration once all writers use the new FKs.</w:t>
            </w:r>
            <w:r>
              <w:rPr>
                <w:b/>
                <w:bCs/>
              </w:rPr>
              <w:t xml:space="preserve">(2)</w:t>
            </w:r>
            <w:r>
              <w:rPr>
                <w:b/>
                <w:bCs/>
              </w:rPr>
              <w:t xml:space="preserve"> </w:t>
            </w:r>
            <w:r>
              <w:rPr>
                <w:rStyle w:val="VerbatimChar"/>
                <w:b/>
                <w:bCs/>
              </w:rPr>
              <w:t xml:space="preserve">Workorder.ProductionEvent</w:t>
            </w:r>
            <w:r>
              <w:rPr>
                <w:b/>
                <w:bCs/>
              </w:rPr>
              <w:t xml:space="preserve"> </w:t>
            </w:r>
            <w:r>
              <w:rPr>
                <w:b/>
                <w:bCs/>
              </w:rPr>
              <w:t xml:space="preserve">reshaped to checkpoint form.</w:t>
            </w:r>
            <w:r>
              <w:t xml:space="preserve"> </w:t>
            </w:r>
            <w:r>
              <w:t xml:space="preserve">Per FRS §2.1.2 operator-driven capture: operators visit terminals periodically (checkout from die cast, check-in to trim, complete + move, quality-operation transitions), not per-shot. Each checkpoint writes one event carrying cumulative counters; deltas derived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 Columns ADDed:</w:t>
            </w:r>
            <w:r>
              <w:t xml:space="preserve"> </w:t>
            </w:r>
            <w:r>
              <w:rPr>
                <w:rStyle w:val="VerbatimChar"/>
              </w:rPr>
              <w:t xml:space="preserve">ShotCount INT NULL</w:t>
            </w:r>
            <w:r>
              <w:t xml:space="preserve"> </w:t>
            </w:r>
            <w:r>
              <w:t xml:space="preserve">(cumulative at event time —</w:t>
            </w:r>
            <w:r>
              <w:t xml:space="preserve"> </w:t>
            </w:r>
            <w:r>
              <w:rPr>
                <w:b/>
                <w:bCs/>
              </w:rPr>
              <w:t xml:space="preserve">open item</w:t>
            </w:r>
            <w:r>
              <w:t xml:space="preserve"> </w:t>
            </w:r>
            <w:r>
              <w:t xml:space="preserve">OI-20/Decision 5: may migrate to derived-from-aggregated-LOT-quantity before Arc 2 Phase 3),</w:t>
            </w:r>
            <w:r>
              <w:t xml:space="preserve"> </w:t>
            </w:r>
            <w:r>
              <w:rPr>
                <w:rStyle w:val="VerbatimChar"/>
              </w:rPr>
              <w:t xml:space="preserve">ScrapCount INT NULL</w:t>
            </w:r>
            <w:r>
              <w:t xml:space="preserve"> </w:t>
            </w:r>
            <w:r>
              <w:t xml:space="preserve">(cumulative),</w:t>
            </w:r>
            <w:r>
              <w:t xml:space="preserve"> </w:t>
            </w:r>
            <w:r>
              <w:rPr>
                <w:rStyle w:val="VerbatimChar"/>
              </w:rPr>
              <w:t xml:space="preserve">EventAt DATETIME2(3)</w:t>
            </w:r>
            <w:r>
              <w:t xml:space="preserve"> </w:t>
            </w:r>
            <w:r>
              <w:t xml:space="preserve">(replaces</w:t>
            </w:r>
            <w:r>
              <w:t xml:space="preserve"> </w:t>
            </w:r>
            <w:r>
              <w:rPr>
                <w:rStyle w:val="VerbatimChar"/>
              </w:rPr>
              <w:t xml:space="preserve">RecordedAt</w:t>
            </w:r>
            <w:r>
              <w:t xml:space="preserve">),</w:t>
            </w:r>
            <w:r>
              <w:t xml:space="preserve"> </w:t>
            </w:r>
            <w:r>
              <w:rPr>
                <w:rStyle w:val="VerbatimChar"/>
              </w:rPr>
              <w:t xml:space="preserve">AppUserId</w:t>
            </w:r>
            <w:r>
              <w:t xml:space="preserve"> </w:t>
            </w:r>
            <w:r>
              <w:t xml:space="preserve">(replaces</w:t>
            </w:r>
            <w:r>
              <w:t xml:space="preserve"> </w:t>
            </w:r>
            <w:r>
              <w:rPr>
                <w:rStyle w:val="VerbatimChar"/>
              </w:rPr>
              <w:t xml:space="preserve">OperatorId</w:t>
            </w:r>
            <w:r>
              <w:t xml:space="preserve"> </w:t>
            </w:r>
            <w:r>
              <w:t xml:space="preserve">— align to initials-based model). Columns DROPPED:</w:t>
            </w:r>
            <w:r>
              <w:t xml:space="preserve"> </w:t>
            </w:r>
            <w:r>
              <w:rPr>
                <w:rStyle w:val="VerbatimChar"/>
              </w:rPr>
              <w:t xml:space="preserve">LocationId</w:t>
            </w:r>
            <w:r>
              <w:t xml:space="preserve"> </w:t>
            </w:r>
            <w:r>
              <w:t xml:space="preserve">(derivable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w:t>
            </w:r>
            <w:r>
              <w:t xml:space="preserve"> </w:t>
            </w:r>
            <w:r>
              <w:rPr>
                <w:rStyle w:val="VerbatimChar"/>
              </w:rPr>
              <w:t xml:space="preserve">DieIdentifier NVARCHAR(50)</w:t>
            </w:r>
            <w:r>
              <w:t xml:space="preserve"> </w:t>
            </w:r>
            <w:r>
              <w:t xml:space="preserve">+</w:t>
            </w:r>
            <w:r>
              <w:t xml:space="preserve"> </w:t>
            </w:r>
            <w:r>
              <w:rPr>
                <w:rStyle w:val="VerbatimChar"/>
              </w:rPr>
              <w:t xml:space="preserve">CavityNumber INT</w:t>
            </w:r>
            <w:r>
              <w:t xml:space="preserve"> </w:t>
            </w:r>
            <w:r>
              <w:t xml:space="preserve">(derivable from</w:t>
            </w:r>
            <w:r>
              <w:t xml:space="preserve"> </w:t>
            </w:r>
            <w:r>
              <w:rPr>
                <w:rStyle w:val="VerbatimChar"/>
              </w:rPr>
              <w:t xml:space="preserve">Lot.ToolId</w:t>
            </w:r>
            <w:r>
              <w:t xml:space="preserve">/</w:t>
            </w:r>
            <w:r>
              <w:rPr>
                <w:rStyle w:val="VerbatimChar"/>
              </w:rPr>
              <w:t xml:space="preserve">Lot.ToolCavityId</w:t>
            </w:r>
            <w:r>
              <w:t xml:space="preserve">),</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(replaced by</w:t>
            </w:r>
            <w:r>
              <w:t xml:space="preserve"> </w:t>
            </w:r>
            <w:r>
              <w:rPr>
                <w:rStyle w:val="VerbatimChar"/>
              </w:rPr>
              <w:t xml:space="preserve">ShotCount</w:t>
            </w:r>
            <w:r>
              <w:t xml:space="preserve"> </w:t>
            </w:r>
            <w:r>
              <w:t xml:space="preserve">cumulative with</w:t>
            </w:r>
            <w:r>
              <w:t xml:space="preserve"> </w:t>
            </w:r>
            <w:r>
              <w:rPr>
                <w:rStyle w:val="VerbatimChar"/>
              </w:rPr>
              <w:t xml:space="preserve">LAG()</w:t>
            </w:r>
            <w:r>
              <w:t xml:space="preserve">-derived delta — avoids compounding errors from missed events),</w:t>
            </w:r>
            <w:r>
              <w:t xml:space="preserve"> </w:t>
            </w:r>
            <w:r>
              <w:rPr>
                <w:rStyle w:val="VerbatimChar"/>
              </w:rPr>
              <w:t xml:space="preserve">ItemId</w:t>
            </w:r>
            <w:r>
              <w:t xml:space="preserve"> </w:t>
            </w:r>
            <w:r>
              <w:t xml:space="preserve">(derivable from</w:t>
            </w:r>
            <w:r>
              <w:t xml:space="preserve"> </w:t>
            </w:r>
            <w:r>
              <w:rPr>
                <w:rStyle w:val="VerbatimChar"/>
              </w:rPr>
              <w:t xml:space="preserve">Lot.ItemId</w:t>
            </w:r>
            <w:r>
              <w:t xml:space="preserve">). Required index</w:t>
            </w:r>
            <w:r>
              <w:t xml:space="preserve"> </w:t>
            </w:r>
            <w:r>
              <w:rPr>
                <w:rStyle w:val="VerbatimChar"/>
              </w:rPr>
              <w:t xml:space="preserve">(LotId, EventAt DESC)</w:t>
            </w:r>
            <w:r>
              <w:t xml:space="preserve">. Table is still deferred to Arc 2 Phase 1 CREATE — the column contract in §4 is authoritative.</w:t>
            </w:r>
            <w:r>
              <w:rPr>
                <w:b/>
                <w:bCs/>
              </w:rPr>
              <w:t xml:space="preserve">(3) New</w:t>
            </w:r>
            <w:r>
              <w:rPr>
                <w:b/>
                <w:bCs/>
              </w:rPr>
              <w:t xml:space="preserve"> </w:t>
            </w:r>
            <w:r>
              <w:rPr>
                <w:rStyle w:val="VerbatimChar"/>
                <w:b/>
                <w:bCs/>
              </w:rPr>
              <w:t xml:space="preserve">Lots.IdentifierSequence</w:t>
            </w:r>
            <w:r>
              <w:rPr>
                <w:b/>
                <w:bCs/>
              </w:rPr>
              <w:t xml:space="preserve"> </w:t>
            </w:r>
            <w:r>
              <w:rPr>
                <w:b/>
                <w:bCs/>
              </w:rPr>
              <w:t xml:space="preserve">table (OI-31).</w:t>
            </w:r>
            <w:r>
              <w:t xml:space="preserve"> </w:t>
            </w:r>
            <w:r>
              <w:t xml:space="preserve">Replaces Flexware’s</w:t>
            </w:r>
            <w:r>
              <w:t xml:space="preserve"> </w:t>
            </w:r>
            <w:r>
              <w:rPr>
                <w:rStyle w:val="VerbatimChar"/>
              </w:rPr>
              <w:t xml:space="preserve">IdentifierFormat</w:t>
            </w:r>
            <w:r>
              <w:t xml:space="preserve">. Columns:</w:t>
            </w:r>
            <w:r>
              <w:t xml:space="preserve"> </w:t>
            </w:r>
            <w:r>
              <w:rPr>
                <w:rStyle w:val="VerbatimChar"/>
              </w:rPr>
              <w:t xml:space="preserve">Id</w:t>
            </w:r>
            <w:r>
              <w:t xml:space="preserve">,</w:t>
            </w:r>
            <w:r>
              <w:t xml:space="preserve"> </w:t>
            </w:r>
            <w:r>
              <w:rPr>
                <w:rStyle w:val="VerbatimChar"/>
              </w:rPr>
              <w:t xml:space="preserve">Code NVARCHAR(30) UNIQUE</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FormatString NVARCHAR(50)</w:t>
            </w:r>
            <w:r>
              <w:t xml:space="preserve"> </w:t>
            </w:r>
            <w:r>
              <w:t xml:space="preserve">(.NET</w:t>
            </w:r>
            <w:r>
              <w:t xml:space="preserve"> </w:t>
            </w:r>
            <w:r>
              <w:rPr>
                <w:rStyle w:val="VerbatimChar"/>
              </w:rPr>
              <w:t xml:space="preserve">string.Format</w:t>
            </w:r>
            <w:r>
              <w:t xml:space="preserve">, e.g.,</w:t>
            </w:r>
            <w:r>
              <w:t xml:space="preserve"> </w:t>
            </w:r>
            <w:r>
              <w:rPr>
                <w:rStyle w:val="VerbatimChar"/>
              </w:rPr>
              <w:t xml:space="preserve">MESL{0:D7}</w:t>
            </w:r>
            <w:r>
              <w:t xml:space="preserve">),</w:t>
            </w:r>
            <w:r>
              <w:t xml:space="preserve"> </w:t>
            </w:r>
            <w:r>
              <w:rPr>
                <w:rStyle w:val="VerbatimChar"/>
              </w:rPr>
              <w:t xml:space="preserve">StartingValue BIGINT DEFAULT 1</w:t>
            </w:r>
            <w:r>
              <w:t xml:space="preserve">,</w:t>
            </w:r>
            <w:r>
              <w:t xml:space="preserve"> </w:t>
            </w:r>
            <w:r>
              <w:rPr>
                <w:rStyle w:val="VerbatimChar"/>
              </w:rPr>
              <w:t xml:space="preserve">EndingValue BIGINT DEFAULT 9999999</w:t>
            </w:r>
            <w:r>
              <w:t xml:space="preserve">,</w:t>
            </w:r>
            <w:r>
              <w:t xml:space="preserve"> </w:t>
            </w:r>
            <w:r>
              <w:rPr>
                <w:rStyle w:val="VerbatimChar"/>
              </w:rPr>
              <w:t xml:space="preserve">LastValue BIGINT DEFAULT 0</w:t>
            </w:r>
            <w:r>
              <w:t xml:space="preserve">,</w:t>
            </w:r>
            <w:r>
              <w:t xml:space="preserve"> </w:t>
            </w:r>
            <w:r>
              <w:rPr>
                <w:rStyle w:val="VerbatimChar"/>
              </w:rPr>
              <w:t xml:space="preserve">ResetIntervalMinutes INT NULL</w:t>
            </w:r>
            <w:r>
              <w:t xml:space="preserve">,</w:t>
            </w:r>
            <w:r>
              <w:t xml:space="preserve"> </w:t>
            </w:r>
            <w:r>
              <w:rPr>
                <w:rStyle w:val="VerbatimChar"/>
              </w:rPr>
              <w:t xml:space="preserve">LastResetAt DATETIME2(3) NULL</w:t>
            </w:r>
            <w:r>
              <w:t xml:space="preserve">,</w:t>
            </w:r>
            <w:r>
              <w:t xml:space="preserve"> </w:t>
            </w:r>
            <w:r>
              <w:rPr>
                <w:rStyle w:val="VerbatimChar"/>
              </w:rPr>
              <w:t xml:space="preserve">UpdatedAt DATETIME2(3)</w:t>
            </w:r>
            <w:r>
              <w:t xml:space="preserve">. 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via the</w:t>
            </w:r>
            <w:r>
              <w:t xml:space="preserve"> </w:t>
            </w:r>
            <w:r>
              <w:rPr>
                <w:rStyle w:val="VerbatimChar"/>
              </w:rPr>
              <w:t xml:space="preserve">.NET</w:t>
            </w:r>
            <w:r>
              <w:t xml:space="preserve">-style string, raises on rollover. Seeded at cutover with</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 actual</w:t>
            </w:r>
            <w:r>
              <w:t xml:space="preserve"> </w:t>
            </w:r>
            <w:r>
              <w:rPr>
                <w:rStyle w:val="VerbatimChar"/>
              </w:rPr>
              <w:t xml:space="preserve">LastValue</w:t>
            </w:r>
            <w:r>
              <w:t xml:space="preserve"> </w:t>
            </w:r>
            <w:r>
              <w:t xml:space="preserve">sampled from Flexware on cutover day. Lands in Arc 2 Phase 1 migration.</w:t>
            </w:r>
            <w:r>
              <w:rPr>
                <w:b/>
                <w:bCs/>
              </w:rPr>
              <w:t xml:space="preserve">(4)</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No schema change — the column stays</w:t>
            </w:r>
            <w:r>
              <w:t xml:space="preserve"> </w:t>
            </w:r>
            <w:r>
              <w:rPr>
                <w:rStyle w:val="VerbatimChar"/>
              </w:rPr>
              <w:t xml:space="preserve">INT NULL</w:t>
            </w:r>
            <w:r>
              <w:t xml:space="preserve">. In this doc and the Config Tool Item screen the label/caption becomes</w:t>
            </w:r>
            <w:r>
              <w:t xml:space="preserve"> </w:t>
            </w:r>
            <w:r>
              <w:rPr>
                <w:rStyle w:val="VerbatimChar"/>
                <w:b/>
                <w:bCs/>
              </w:rPr>
              <w:t xml:space="preserve">PartsPerBasket</w:t>
            </w:r>
            <w:r>
              <w:t xml:space="preserve">: one LOT = one basket = one LTT label, so</w:t>
            </w:r>
            <w:r>
              <w:t xml:space="preserve"> </w:t>
            </w:r>
            <w:r>
              <w:t xml:space="preserve">“max parts per LOT”</w:t>
            </w:r>
            <w:r>
              <w:t xml:space="preserve"> </w:t>
            </w:r>
            <w:r>
              <w:t xml:space="preserve">IS</w:t>
            </w:r>
            <w:r>
              <w:t xml:space="preserve"> </w:t>
            </w:r>
            <w:r>
              <w:t xml:space="preserve">“basket capacity”</w:t>
            </w:r>
            <w:r>
              <w:t xml:space="preserve"> </w:t>
            </w:r>
            <w:r>
              <w:t xml:space="preserve">by definition. Basket (Item-level capacity) is distinct from Container (</w:t>
            </w:r>
            <w:r>
              <w:rPr>
                <w:rStyle w:val="VerbatimChar"/>
              </w:rPr>
              <w:t xml:space="preserve">Parts.ContainerConfig</w:t>
            </w:r>
            <w:r>
              <w:t xml:space="preserve"> </w:t>
            </w:r>
            <w:r>
              <w:t xml:space="preserve">with tray math for shipping — unchanged). Formal column rename deferred to a later migration.</w:t>
            </w:r>
            <w:r>
              <w:rPr>
                <w:b/>
                <w:bCs/>
              </w:rPr>
              <w:t xml:space="preserve">Other v1.9 notes:</w:t>
            </w:r>
            <w:r>
              <w:t xml:space="preserve"> </w:t>
            </w:r>
            <w:r>
              <w:rPr>
                <w:rStyle w:val="VerbatimChar"/>
              </w:rPr>
              <w:t xml:space="preserve">Tools.ToolAssignment</w:t>
            </w:r>
            <w:r>
              <w:t xml:space="preserve"> </w:t>
            </w:r>
            <w:r>
              <w:t xml:space="preserve">has</w:t>
            </w:r>
            <w:r>
              <w:t xml:space="preserve"> </w:t>
            </w:r>
            <w:r>
              <w:rPr>
                <w:b/>
                <w:bCs/>
              </w:rPr>
              <w:t xml:space="preserve">two</w:t>
            </w:r>
            <w:r>
              <w:t xml:space="preserve"> </w:t>
            </w:r>
            <w:r>
              <w:t xml:space="preserve">filtered unique indexes today (</w:t>
            </w:r>
            <w:r>
              <w:rPr>
                <w:rStyle w:val="VerbatimChar"/>
              </w:rPr>
              <w:t xml:space="preserve">UQ_ToolAssignment_ActiveTool</w:t>
            </w:r>
            <w:r>
              <w:t xml:space="preserve"> </w:t>
            </w:r>
            <w:r>
              <w:t xml:space="preserve">on</w:t>
            </w:r>
            <w:r>
              <w:t xml:space="preserve"> </w:t>
            </w:r>
            <w:r>
              <w:rPr>
                <w:rStyle w:val="VerbatimChar"/>
              </w:rPr>
              <w:t xml:space="preserve">ToolId</w:t>
            </w:r>
            <w:r>
              <w:t xml:space="preserve">,</w:t>
            </w:r>
            <w:r>
              <w:t xml:space="preserve"> </w:t>
            </w:r>
            <w:r>
              <w:rPr>
                <w:rStyle w:val="VerbatimChar"/>
              </w:rPr>
              <w:t xml:space="preserve">UQ_ToolAssignment_ActiveCell</w:t>
            </w:r>
            <w:r>
              <w:t xml:space="preserve"> </w:t>
            </w:r>
            <w:r>
              <w:t xml:space="preserve">on</w:t>
            </w:r>
            <w:r>
              <w:t xml:space="preserve"> </w:t>
            </w:r>
            <w:r>
              <w:rPr>
                <w:rStyle w:val="VerbatimChar"/>
              </w:rPr>
              <w:t xml:space="preserve">CellLocationId</w:t>
            </w:r>
            <w:r>
              <w:t xml:space="preserve">). The Cell UNIQUE is correct for Die Cast (one mounted die per cell) but wrong for Machining / Trim / Assembly where multiple Tools coexist on a cell. Documented as a known limitation to resolve when non-Die Tool types go live post-MVP (scope the UNIQUE to</w:t>
            </w:r>
            <w:r>
              <w:t xml:space="preserve"> </w:t>
            </w:r>
            <w:r>
              <w:rPr>
                <w:rStyle w:val="VerbatimChar"/>
              </w:rPr>
              <w:t xml:space="preserve">ToolType=Die</w:t>
            </w:r>
            <w:r>
              <w:t xml:space="preserve"> </w:t>
            </w:r>
            <w:r>
              <w:t xml:space="preserve">or drop it). Source:</w:t>
            </w:r>
            <w:r>
              <w:t xml:space="preserve"> </w:t>
            </w:r>
            <w:r>
              <w:rPr>
                <w:rStyle w:val="VerbatimChar"/>
              </w:rPr>
              <w:t xml:space="preserve">docs/superpowers/specs/2026-04-23-arc2-model-revisions.md</w:t>
            </w:r>
            <w:r>
              <w:t xml:space="preserve">.</w:t>
            </w:r>
          </w:p>
        </w:tc>
      </w:tr>
      <w:tr>
        <w:tc>
          <w:tcPr/>
          <w:p>
            <w:pPr>
              <w:pStyle w:val="Compact"/>
            </w:pPr>
            <w:r>
              <w:t xml:space="preserve">1.8-rev</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shd w:val="clear" w:color="auto" w:fill="F2F2F2"/>
          </w:tcPr>
          <w:tcPr/>
          <w:p>
            <w:pPr>
              <w:pStyle w:val="Compact"/>
            </w:pPr>
            <w:r>
              <w:t xml:space="preserve">1.7</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p>
            <w:pPr>
              <w:pStyle w:val="Compact"/>
            </w:pPr>
            <w:r>
              <w:t xml:space="preserve">1.6</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shd w:val="clear" w:color="auto" w:fill="F2F2F2"/>
          </w:tcPr>
          <w:tcPr/>
          <w:p>
            <w:pPr>
              <w:pStyle w:val="Compact"/>
            </w:pPr>
            <w:r>
              <w:t xml:space="preserve">1.5</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p>
            <w:pPr>
              <w:pStyle w:val="Compact"/>
            </w:pPr>
            <w:r>
              <w:t xml:space="preserve">1.4</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shd w:val="clear" w:color="auto" w:fill="F2F2F2"/>
          </w:tcPr>
          <w:tcPr/>
          <w:p>
            <w:pPr>
              <w:pStyle w:val="Compact"/>
            </w:pPr>
            <w:r>
              <w:t xml:space="preserve">1.3</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p>
            <w:pPr>
              <w:pStyle w:val="Compact"/>
            </w:pPr>
            <w:r>
              <w:t xml:space="preserve">1.2</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shd w:val="clear" w:color="auto" w:fill="F2F2F2"/>
          </w:tcPr>
          <w:tcPr/>
          <w:p>
            <w:pPr>
              <w:pStyle w:val="Compact"/>
            </w:pPr>
            <w:r>
              <w:t xml:space="preserve">1.0</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p>
            <w:pPr>
              <w:pStyle w:val="Compact"/>
            </w:pPr>
            <w:r>
              <w:t xml:space="preserve">0.9</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shd w:val="clear" w:color="auto" w:fill="F2F2F2"/>
          </w:tcPr>
          <w:tcPr/>
          <w:p>
            <w:pPr>
              <w:pStyle w:val="Compact"/>
            </w:pPr>
            <w:r>
              <w:t xml:space="preserve">0.8</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p>
            <w:pPr>
              <w:pStyle w:val="Compact"/>
            </w:pPr>
            <w:r>
              <w:t xml:space="preserve">0.7</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All enum and status values are code-table backed with FK — no free-text enums, no magic integers</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1"/>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RefCycleTimeSec</w:t>
      </w:r>
      <w:r>
        <w:t xml:space="preserve">. Different definitions carry different attribute sets. (Cavity count is</w:t>
      </w:r>
      <w:r>
        <w:t xml:space="preserve"> </w:t>
      </w:r>
      <w:r>
        <w:rPr>
          <w:b/>
          <w:bCs/>
        </w:rPr>
        <w:t xml:space="preserve">not</w:t>
      </w:r>
      <w:r>
        <w:t xml:space="preserve"> </w:t>
      </w:r>
      <w:r>
        <w:t xml:space="preserve">a press attribute — cavities belong to the die; see</w:t>
      </w:r>
      <w:r>
        <w:t xml:space="preserve"> </w:t>
      </w:r>
      <w:r>
        <w:rPr>
          <w:rStyle w:val="VerbatimChar"/>
        </w:rPr>
        <w:t xml:space="preserve">Tools.Tool</w:t>
      </w:r>
      <w:r>
        <w:t xml:space="preserve"> </w:t>
      </w:r>
      <w:r>
        <w:t xml:space="preserve">/</w:t>
      </w:r>
      <w:r>
        <w:t xml:space="preserve"> </w:t>
      </w:r>
      <w:r>
        <w:rPr>
          <w:rStyle w:val="VerbatimChar"/>
        </w:rPr>
        <w:t xml:space="preserve">Tools.ToolCavity</w:t>
      </w:r>
      <w:r>
        <w:t xml:space="preserve"> </w:t>
      </w:r>
      <w:r>
        <w:t xml:space="preserve">in §7.)</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Operator HMI station — mode derived from parent tier (Cell-parent = Dedicated; WorkCenter- or Area-parent = Shared, per FDS-02-010)</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RefCycleTimeSec</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seconds</w:t>
            </w:r>
          </w:p>
        </w:tc>
        <w:tc>
          <w:tcPr>
            <w:shd w:val="clear" w:color="auto" w:fill="F2F2F2"/>
          </w:tcPr>
          <w:tcPr/>
          <w:p>
            <w:pPr>
              <w:pStyle w:val="Compact"/>
            </w:pPr>
            <w:r>
              <w:t xml:space="preserve">Reference cycle time for OEE performance calculation</w:t>
            </w:r>
          </w:p>
        </w:tc>
      </w:tr>
      <w:tr>
        <w:tc>
          <w:tcPr/>
          <w:p>
            <w:pPr>
              <w:pStyle w:val="Compact"/>
            </w:pPr>
            <w:r>
              <w:t xml:space="preserve">OeeTarget</w:t>
            </w:r>
          </w:p>
        </w:tc>
        <w:tc>
          <w:tcPr/>
          <w:p>
            <w:pPr>
              <w:pStyle w:val="Compact"/>
            </w:pPr>
            <w:r>
              <w:t xml:space="preserve">DECIMAL</w:t>
            </w:r>
          </w:p>
        </w:tc>
        <w:tc>
          <w:tcPr/>
          <w:p>
            <w:pPr>
              <w:pStyle w:val="Compact"/>
            </w:pPr>
            <w:r>
              <w:t xml:space="preserve">No</w:t>
            </w:r>
          </w:p>
        </w:tc>
        <w:tc>
          <w:tcPr/>
          <w:p>
            <w:pPr>
              <w:pStyle w:val="Compact"/>
            </w:pPr>
            <w:r>
              <w:t xml:space="preserve">—</w:t>
            </w:r>
          </w:p>
        </w:tc>
        <w:tc>
          <w:tcPr/>
          <w:p>
            <w:pPr>
              <w:pStyle w:val="Compact"/>
            </w:pPr>
            <w:r>
              <w:t xml:space="preserve">Target OEE (0.00–1.00). FUTURE — designed for but not used in MVP.</w:t>
            </w:r>
          </w:p>
        </w:tc>
      </w:tr>
    </w:tbl>
    <w:p>
      <w:pPr>
        <w:pStyle w:val="BlockText"/>
      </w:pPr>
      <w:r>
        <w:rPr>
          <w:b/>
          <w:bCs/>
        </w:rPr>
        <w:t xml:space="preserve">Cavity count is not a press attribute.</w:t>
      </w:r>
      <w:r>
        <w:t xml:space="preserve"> </w:t>
      </w:r>
      <w:r>
        <w:t xml:space="preserve">Cavities belong to the die that’s currently mounted on the press, not to the press itself. See</w:t>
      </w:r>
      <w:r>
        <w:t xml:space="preserve"> </w:t>
      </w:r>
      <w:r>
        <w:rPr>
          <w:rStyle w:val="VerbatimChar"/>
        </w:rPr>
        <w:t xml:space="preserve">Tools.Tool</w:t>
      </w:r>
      <w:r>
        <w:t xml:space="preserve"> </w:t>
      </w:r>
      <w:r>
        <w:t xml:space="preserve">(</w:t>
      </w:r>
      <w:r>
        <w:rPr>
          <w:rStyle w:val="VerbatimChar"/>
        </w:rPr>
        <w:t xml:space="preserve">HasCavities=1</w:t>
      </w:r>
      <w:r>
        <w:t xml:space="preserve"> </w:t>
      </w:r>
      <w:r>
        <w:t xml:space="preserve">for Die-type Tools) and</w:t>
      </w:r>
      <w:r>
        <w:t xml:space="preserve"> </w:t>
      </w:r>
      <w:r>
        <w:rPr>
          <w:rStyle w:val="VerbatimChar"/>
        </w:rPr>
        <w:t xml:space="preserve">Tools.ToolCavity</w:t>
      </w:r>
      <w:r>
        <w:t xml:space="preserve"> </w:t>
      </w:r>
      <w:r>
        <w:t xml:space="preserve">in §7. The press’s cavity behavior changes with each die change; the data model captures that via</w:t>
      </w:r>
      <w:r>
        <w:t xml:space="preserve"> </w:t>
      </w:r>
      <w:r>
        <w:rPr>
          <w:rStyle w:val="VerbatimChar"/>
        </w:rPr>
        <w:t xml:space="preserve">Tools.ToolAssignment</w:t>
      </w:r>
      <w:r>
        <w:t xml:space="preserve"> </w:t>
      </w:r>
      <w:r>
        <w:t xml:space="preserve">(which die is currently on which Cell) rather than as a fixed press attribute.</w:t>
      </w:r>
    </w:p>
    <w:p>
      <w:pPr>
        <w:pStyle w:val="FirstParagraph"/>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w:t>
            </w:r>
            <w:r>
              <w:t xml:space="preserve"> </w:t>
            </w:r>
            <w:r>
              <w:rPr>
                <w:b/>
                <w:bCs/>
              </w:rPr>
              <w:t xml:space="preserve">all Items</w:t>
            </w:r>
            <w:r>
              <w:t xml:space="preserve">, all open LOTs at this Location). Scan-in mutation rejects when cumulative lineside quantity would exceed this. Added v1.8 (OI-12). Complements</w:t>
            </w:r>
            <w:r>
              <w:t xml:space="preserve"> </w:t>
            </w:r>
            <w:r>
              <w:rPr>
                <w:rStyle w:val="VerbatimChar"/>
              </w:rPr>
              <w:t xml:space="preserve">Parts.Item.MaxParts</w:t>
            </w:r>
            <w:r>
              <w:t xml:space="preserve"> </w:t>
            </w:r>
            <w:r>
              <w:t xml:space="preserve">—</w:t>
            </w:r>
            <w:r>
              <w:t xml:space="preserve"> </w:t>
            </w:r>
            <w:r>
              <w:rPr>
                <w:rStyle w:val="VerbatimChar"/>
              </w:rPr>
              <w:t xml:space="preserve">MaxParts</w:t>
            </w:r>
            <w:r>
              <w:t xml:space="preserve"> </w:t>
            </w:r>
            <w:r>
              <w:t xml:space="preserve">is Item-scoped (cap on one Item at one Location);</w:t>
            </w:r>
            <w:r>
              <w:t xml:space="preserve"> </w:t>
            </w:r>
            <w:r>
              <w:rPr>
                <w:rStyle w:val="VerbatimChar"/>
              </w:rPr>
              <w:t xml:space="preserve">LinesideLimit</w:t>
            </w:r>
            <w:r>
              <w:t xml:space="preserve"> </w:t>
            </w:r>
            <w:r>
              <w:t xml:space="preserve">is Location-scoped (cap across everything at that Location).</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CNCMachine</w:t>
      </w:r>
      <w:r>
        <w:rPr>
          <w:i/>
          <w:iCs/>
        </w:rPr>
        <w:t xml:space="preserve"> </w:t>
      </w:r>
      <w:r>
        <w:rPr>
          <w:i/>
          <w:iCs/>
        </w:rPr>
        <w:t xml:space="preserve">definition (machining cells — coupled-downstream auto-move per FDS-06-008):</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CoupledDownstreamCellLocationId</w:t>
            </w:r>
          </w:p>
        </w:tc>
        <w:tc>
          <w:tcPr/>
          <w:p>
            <w:pPr>
              <w:pStyle w:val="Compact"/>
            </w:pPr>
            <w:r>
              <w:t xml:space="preserve">Integer</w:t>
            </w:r>
          </w:p>
        </w:tc>
        <w:tc>
          <w:tcPr/>
          <w:p>
            <w:pPr>
              <w:pStyle w:val="Compact"/>
            </w:pPr>
            <w:r>
              <w:t xml:space="preserve">No</w:t>
            </w:r>
          </w:p>
        </w:tc>
        <w:tc>
          <w:tcPr/>
          <w:p>
            <w:pPr>
              <w:pStyle w:val="Compact"/>
            </w:pPr>
            <w:r>
              <w:t xml:space="preserve">—</w:t>
            </w:r>
          </w:p>
        </w:tc>
        <w:tc>
          <w:tcPr/>
          <w:p>
            <w:pPr>
              <w:pStyle w:val="Compact"/>
            </w:pPr>
            <w:r>
              <w:rPr>
                <w:b/>
                <w:bCs/>
              </w:rPr>
              <w:t xml:space="preserve">Added v1.9k.</w:t>
            </w:r>
            <w:r>
              <w:t xml:space="preserve"> </w:t>
            </w:r>
            <w:r>
              <w:rPr>
                <w:rStyle w:val="VerbatimChar"/>
              </w:rPr>
              <w:t xml:space="preserve">Location.Location.Id</w:t>
            </w:r>
            <w:r>
              <w:t xml:space="preserve"> </w:t>
            </w:r>
            <w:r>
              <w:t xml:space="preserve">of the Cell that machined LOTs auto-move to on Machining OUT. When non-NULL, PLC-signalled machining completion writes a</w:t>
            </w:r>
            <w:r>
              <w:t xml:space="preserve"> </w:t>
            </w:r>
            <w:r>
              <w:rPr>
                <w:rStyle w:val="VerbatimChar"/>
              </w:rPr>
              <w:t xml:space="preserve">Workorder.ProductionEvent</w:t>
            </w:r>
            <w:r>
              <w:t xml:space="preserve"> </w:t>
            </w:r>
            <w:r>
              <w:t xml:space="preserve">and a</w:t>
            </w:r>
            <w:r>
              <w:t xml:space="preserve"> </w:t>
            </w:r>
            <w:r>
              <w:rPr>
                <w:rStyle w:val="VerbatimChar"/>
              </w:rPr>
              <w:t xml:space="preserve">Lots.LotMovement</w:t>
            </w:r>
            <w:r>
              <w:t xml:space="preserve"> </w:t>
            </w:r>
            <w:r>
              <w:t xml:space="preserve">from this Machining Cell to the referenced downstream Cell (typically the paired Assembly Cell within the same WorkCenter), and updates the LOT’s</w:t>
            </w:r>
            <w:r>
              <w:t xml:space="preserve"> </w:t>
            </w:r>
            <w:r>
              <w:rPr>
                <w:rStyle w:val="VerbatimChar"/>
              </w:rPr>
              <w:t xml:space="preserve">CurrentLocationId</w:t>
            </w:r>
            <w:r>
              <w:t xml:space="preserve"> </w:t>
            </w:r>
            <w:r>
              <w:t xml:space="preserve">to the downstream Cell — no operator scan needed. NULL = legacy / uncoupled path: completion writes the</w:t>
            </w:r>
            <w:r>
              <w:t xml:space="preserve"> </w:t>
            </w:r>
            <w:r>
              <w:rPr>
                <w:rStyle w:val="VerbatimChar"/>
              </w:rPr>
              <w:t xml:space="preserve">ProductionEvent</w:t>
            </w:r>
            <w:r>
              <w:t xml:space="preserve"> </w:t>
            </w:r>
            <w:r>
              <w:t xml:space="preserve">only; LOT stays at the Machining Cell awaiting an explicit operator-driven movement. Configured at deployment via the Configuration Tool’s Location admin screens. (FDS-06-008)</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 / FDS-02-009/010/011:</w:t>
      </w:r>
      <w:r>
        <w:t xml:space="preserve"> </w:t>
      </w:r>
      <w:r>
        <w:t xml:space="preserve">Terminal mode is derived from the parent Location’s ISA-95 tier — there is no</w:t>
      </w:r>
      <w:r>
        <w:t xml:space="preserve"> </w:t>
      </w:r>
      <w:r>
        <w:rPr>
          <w:rStyle w:val="VerbatimChar"/>
        </w:rPr>
        <w:t xml:space="preserve">TerminalMode</w:t>
      </w:r>
      <w:r>
        <w:t xml:space="preserve"> </w:t>
      </w:r>
      <w:r>
        <w:t xml:space="preserve">LocationAttribute. Cell-parented terminals operate in</w:t>
      </w:r>
      <w:r>
        <w:t xml:space="preserve"> </w:t>
      </w:r>
      <w:r>
        <w:rPr>
          <w:b/>
          <w:bCs/>
        </w:rPr>
        <w:t xml:space="preserve">Dedicated</w:t>
      </w:r>
      <w:r>
        <w:t xml:space="preserve"> </w:t>
      </w:r>
      <w:r>
        <w:t xml:space="preserve">mode (Cell context = parent Cell, fixed, no selector). WorkCenter- or Area-parented terminals operate in</w:t>
      </w:r>
      <w:r>
        <w:t xml:space="preserve"> </w:t>
      </w:r>
      <w:r>
        <w:rPr>
          <w:b/>
          <w:bCs/>
        </w:rPr>
        <w:t xml:space="preserve">Shared</w:t>
      </w:r>
      <w:r>
        <w:t xml:space="preserve"> </w:t>
      </w:r>
      <w:r>
        <w:t xml:space="preserve">mode (operator selects the active Cell at session start by scan</w:t>
      </w:r>
      <w:r>
        <w:t xml:space="preserve"> </w:t>
      </w:r>
      <w:r>
        <w:rPr>
          <w:b/>
          <w:bCs/>
        </w:rPr>
        <w:t xml:space="preserve">or</w:t>
      </w:r>
      <w:r>
        <w:t xml:space="preserve"> </w:t>
      </w:r>
      <w:r>
        <w:t xml:space="preserve">dropdown, MAY switch mid-session by either mechanism). Descendant Cells of the terminal’s parent Location define the eligible context set on Shared terminals.</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(the active Cell context — either fixed by parent on Dedicated terminals or selected by scan/dropdown on Shared terminals)</w:t>
      </w:r>
    </w:p>
    <w:bookmarkEnd w:id="17"/>
    <w:bookmarkStart w:id="18" w:name="appuser"/>
    <w:p>
      <w:pPr>
        <w:pStyle w:val="Heading3"/>
      </w:pPr>
      <w:r>
        <w:t xml:space="preserve">AppUser</w:t>
      </w:r>
    </w:p>
    <w:p>
      <w:pPr>
        <w:pStyle w:val="FirstParagraph"/>
      </w:pPr>
      <w:r>
        <w:t xml:space="preserve">MES users in two classes (FDS §4):</w:t>
      </w:r>
    </w:p>
    <w:p>
      <w:pPr>
        <w:pStyle w:val="Compact"/>
        <w:numPr>
          <w:ilvl w:val="0"/>
          <w:numId w:val="1003"/>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initials entered at a terminal; no authentication. Managed via the Configuration Tool Admin screen.</w:t>
      </w:r>
    </w:p>
    <w:p>
      <w:pPr>
        <w:pStyle w:val="Compact"/>
        <w:numPr>
          <w:ilvl w:val="0"/>
          <w:numId w:val="1003"/>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w:t>
      </w:r>
    </w:p>
    <w:p>
      <w:pPr>
        <w:pStyle w:val="FirstParagraph"/>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w:t>
            </w:r>
          </w:p>
        </w:tc>
      </w:tr>
      <w:tr>
        <w:tc>
          <w:tcPr/>
          <w:p>
            <w:pPr>
              <w:pStyle w:val="Compact"/>
            </w:pPr>
            <w:r>
              <w:t xml:space="preserve">AdAccount</w:t>
            </w:r>
          </w:p>
        </w:tc>
        <w:tc>
          <w:tcPr/>
          <w:p>
            <w:pPr>
              <w:pStyle w:val="Compact"/>
            </w:pPr>
            <w:r>
              <w:t xml:space="preserve">NVARCHAR(100)</w:t>
            </w:r>
          </w:p>
        </w:tc>
        <w:tc>
          <w:tcPr/>
          <w:p>
            <w:pPr>
              <w:pStyle w:val="Compact"/>
            </w:pPr>
            <w:r>
              <w:t xml:space="preserve">NULL, filtered UNIQUE where NOT NULL</w:t>
            </w:r>
          </w:p>
        </w:tc>
        <w:tc>
          <w:tcPr/>
          <w:p>
            <w:pPr>
              <w:pStyle w:val="Compact"/>
            </w:pPr>
            <w:r>
              <w:t xml:space="preserve">Active Directory identity. NULL for Operator class, NOT NULL for Interactive Users.</w:t>
            </w:r>
          </w:p>
        </w:tc>
      </w:tr>
      <w:tr>
        <w:tc>
          <w:tcPr>
            <w:shd w:val="clear" w:color="auto" w:fill="F2F2F2"/>
          </w:tcPr>
          <w:tcPr/>
          <w:p>
            <w:pPr>
              <w:pStyle w:val="Compact"/>
            </w:pPr>
            <w:r>
              <w:t xml:space="preserve">DisplayName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IgnitionRole</w:t>
            </w:r>
          </w:p>
        </w:tc>
        <w:tc>
          <w:tcPr/>
          <w:p>
            <w:pPr>
              <w:pStyle w:val="Compact"/>
            </w:pPr>
            <w:r>
              <w:t xml:space="preserve">NVARCHAR(100)</w:t>
            </w:r>
          </w:p>
        </w:tc>
        <w:tc>
          <w:tcPr/>
          <w:p>
            <w:pPr>
              <w:pStyle w:val="Compact"/>
            </w:pPr>
            <w:r>
              <w:t xml:space="preserve">NULL</w:t>
            </w:r>
          </w:p>
        </w:tc>
        <w:tc>
          <w:tcPr/>
          <w:p>
            <w:pPr>
              <w:pStyle w:val="Compact"/>
            </w:pPr>
            <w:r>
              <w:t xml:space="preserve">NULL for Operator class. References Ignition’s internal role config for Interactive Users.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Check constraint:</w:t>
      </w:r>
      <w:r>
        <w:t xml:space="preserve"> </w:t>
      </w:r>
      <w:r>
        <w:rPr>
          <w:rStyle w:val="VerbatimChar"/>
        </w:rPr>
        <w:t xml:space="preserve">IgnitionRole IS NULL OR AdAccount IS NOT NULL</w:t>
      </w:r>
      <w:r>
        <w:t xml:space="preserve"> </w:t>
      </w:r>
      <w:r>
        <w:t xml:space="preserve">— an Operator (no AD) cannot carry an Ignition role; roles apply only to AD-backed users.</w:t>
      </w:r>
    </w:p>
    <w:p>
      <w:pPr>
        <w:pStyle w:val="BodyText"/>
      </w:pPr>
      <w:r>
        <w:rPr>
          <w:b/>
          <w:bCs/>
        </w:rPr>
        <w:t xml:space="preserve">Legacy columns to be removed in the Phase G Tool &amp; Security migration</w:t>
      </w:r>
      <w:r>
        <w:t xml:space="preserve"> </w:t>
      </w:r>
      <w:r>
        <w:t xml:space="preserve">(Phase G of the 2026-04-20 OI review refactor):</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are no longer used by the design. They remain in the live schema from Phases 1–8 and will be dropped alongside the related procs (</w:t>
      </w:r>
      <w:r>
        <w:rPr>
          <w:rStyle w:val="VerbatimChar"/>
        </w:rPr>
        <w:t xml:space="preserve">AppUser_SetPin</w:t>
      </w:r>
      <w:r>
        <w:t xml:space="preserve">,</w:t>
      </w:r>
      <w:r>
        <w:t xml:space="preserve"> </w:t>
      </w:r>
      <w:r>
        <w:rPr>
          <w:rStyle w:val="VerbatimChar"/>
        </w:rPr>
        <w:t xml:space="preserve">AppUser_GetByClockNumber</w:t>
      </w:r>
      <w:r>
        <w:t xml:space="preserve">) when Phase G runs.</w:t>
      </w:r>
    </w:p>
    <w:p>
      <w:r>
        <w:pict>
          <v:rect style="width:0;height:1.5pt" o:hralign="center" o:hrstd="t" o:hr="t"/>
        </w:pict>
      </w:r>
    </w:p>
    <w:bookmarkEnd w:id="18"/>
    <w:bookmarkEnd w:id="19"/>
    <w:bookmarkStart w:id="34"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p>
      <w:pPr>
        <w:pStyle w:val="BodyText"/>
      </w:pPr>
      <w:r>
        <w:rPr>
          <w:b/>
          <w:bCs/>
        </w:rPr>
        <w:t xml:space="preserve">Views (v1.9l):</w:t>
      </w:r>
      <w:r>
        <w:t xml:space="preserve"> </w:t>
      </w:r>
      <w:r>
        <w:rPr>
          <w:rStyle w:val="VerbatimChar"/>
        </w:rPr>
        <w:t xml:space="preserve">Parts.v_EffectiveItemLocation (LocationId, ItemId, Source)</w:t>
      </w:r>
      <w:r>
        <w:t xml:space="preserve"> </w:t>
      </w:r>
      <w:r>
        <w:t xml:space="preserve">— fronts the FDS-02-012 eligibility check at scan-in. Computes the union of two paths:</w:t>
      </w:r>
      <w:r>
        <w:t xml:space="preserve"> </w:t>
      </w:r>
      <w:r>
        <w:rPr>
          <w:b/>
          <w:bCs/>
        </w:rPr>
        <w:t xml:space="preserve">Direct</w:t>
      </w:r>
      <w:r>
        <w:t xml:space="preserve"> </w:t>
      </w:r>
      <w:r>
        <w:t xml:space="preserve">= a</w:t>
      </w:r>
      <w:r>
        <w:t xml:space="preserve"> </w:t>
      </w:r>
      <w:r>
        <w:rPr>
          <w:rStyle w:val="VerbatimChar"/>
        </w:rPr>
        <w:t xml:space="preserve">Parts.ItemLocation</w:t>
      </w:r>
      <w:r>
        <w:t xml:space="preserve"> </w:t>
      </w:r>
      <w:r>
        <w:t xml:space="preserve">row exists for the LOT’s</w:t>
      </w:r>
      <w:r>
        <w:t xml:space="preserve"> </w:t>
      </w:r>
      <w:r>
        <w:rPr>
          <w:rStyle w:val="VerbatimChar"/>
        </w:rPr>
        <w:t xml:space="preserve">ItemId</w:t>
      </w:r>
      <w:r>
        <w:t xml:space="preserve"> </w:t>
      </w:r>
      <w:r>
        <w:t xml:space="preserve">at the scanned Cell or any ancestor tier (per FDS-03-014 hierarchy cascade — Cell → WorkCenter → Area → Site);</w:t>
      </w:r>
      <w:r>
        <w:t xml:space="preserve"> </w:t>
      </w:r>
      <w:r>
        <w:rPr>
          <w:b/>
          <w:bCs/>
        </w:rPr>
        <w:t xml:space="preserve">BomDerived</w:t>
      </w:r>
      <w:r>
        <w:t xml:space="preserve"> </w:t>
      </w:r>
      <w:r>
        <w:t xml:space="preserve">= the LOT’s</w:t>
      </w:r>
      <w:r>
        <w:t xml:space="preserve"> </w:t>
      </w:r>
      <w:r>
        <w:rPr>
          <w:rStyle w:val="VerbatimChar"/>
        </w:rPr>
        <w:t xml:space="preserve">ItemId</w:t>
      </w:r>
      <w:r>
        <w:t xml:space="preserve"> </w:t>
      </w:r>
      <w:r>
        <w:t xml:space="preserve">appears as a child line on the active</w:t>
      </w:r>
      <w:r>
        <w:t xml:space="preserve"> </w:t>
      </w:r>
      <w:r>
        <w:rPr>
          <w:rStyle w:val="VerbatimChar"/>
        </w:rPr>
        <w:t xml:space="preserve">Parts.Bom</w:t>
      </w:r>
      <w:r>
        <w:t xml:space="preserve"> </w:t>
      </w:r>
      <w:r>
        <w:t xml:space="preserve">of any Item whose Direct eligibility resolves at this Cell. A LOT is eligible if</w:t>
      </w:r>
      <w:r>
        <w:t xml:space="preserve"> </w:t>
      </w:r>
      <w:r>
        <w:rPr>
          <w:b/>
          <w:bCs/>
        </w:rPr>
        <w:t xml:space="preserve">either</w:t>
      </w:r>
      <w:r>
        <w:t xml:space="preserve"> </w:t>
      </w:r>
      <w:r>
        <w:t xml:space="preserve">path matches. Active BOM membership requires</w:t>
      </w:r>
      <w:r>
        <w:t xml:space="preserve"> </w:t>
      </w:r>
      <w:r>
        <w:rPr>
          <w:rStyle w:val="VerbatimChar"/>
        </w:rPr>
        <w:t xml:space="preserve">Parts.Bom.PublishedAt IS NOT NULL AND Parts.Bom.DeprecatedAt IS NULL</w:t>
      </w:r>
      <w:r>
        <w:t xml:space="preserve">. The</w:t>
      </w:r>
      <w:r>
        <w:t xml:space="preserve"> </w:t>
      </w:r>
      <w:r>
        <w:rPr>
          <w:rStyle w:val="VerbatimChar"/>
        </w:rPr>
        <w:t xml:space="preserve">Source</w:t>
      </w:r>
      <w:r>
        <w:t xml:space="preserve"> </w:t>
      </w:r>
      <w:r>
        <w:t xml:space="preserve">column distinguishes</w:t>
      </w:r>
      <w:r>
        <w:t xml:space="preserve"> </w:t>
      </w:r>
      <w:r>
        <w:rPr>
          <w:rStyle w:val="VerbatimChar"/>
        </w:rPr>
        <w:t xml:space="preserve">Direct</w:t>
      </w:r>
      <w:r>
        <w:t xml:space="preserve"> </w:t>
      </w:r>
      <w:r>
        <w:t xml:space="preserve">vs</w:t>
      </w:r>
      <w:r>
        <w:t xml:space="preserve"> </w:t>
      </w:r>
      <w:r>
        <w:rPr>
          <w:rStyle w:val="VerbatimChar"/>
        </w:rPr>
        <w:t xml:space="preserve">BomDerived</w:t>
      </w:r>
      <w:r>
        <w:t xml:space="preserve"> </w:t>
      </w:r>
      <w:r>
        <w:t xml:space="preserve">for diagnostic queries; the eligibility check itself only cares whether</w:t>
      </w:r>
      <w:r>
        <w:t xml:space="preserve"> </w:t>
      </w:r>
      <w:r>
        <w:rPr>
          <w:i/>
          <w:iCs/>
        </w:rPr>
        <w:t xml:space="preserve">any</w:t>
      </w:r>
      <w:r>
        <w:t xml:space="preserve"> </w:t>
      </w:r>
      <w:r>
        <w:t xml:space="preserve">row exists. Consumed by the</w:t>
      </w:r>
      <w:r>
        <w:t xml:space="preserve"> </w:t>
      </w:r>
      <w:r>
        <w:rPr>
          <w:rStyle w:val="VerbatimChar"/>
        </w:rPr>
        <w:t xml:space="preserve">Parts.ItemLocation_CheckEligibility</w:t>
      </w:r>
      <w:r>
        <w:t xml:space="preserve"> </w:t>
      </w:r>
      <w:r>
        <w:t xml:space="preserve">proc that fronts every scan-in mutation. Avoids the configuration explosion of enumerating every pass-through component (e.g., a 20-line BOM × N assembly Cells = 20N rows). Created in the Arc 2 Phase 1 migration alongside</w:t>
      </w:r>
      <w:r>
        <w:t xml:space="preserve"> </w:t>
      </w:r>
      <w:r>
        <w:rPr>
          <w:rStyle w:val="VerbatimChar"/>
        </w:rPr>
        <w:t xml:space="preserve">Parts.ItemLocation_CheckEligibility</w:t>
      </w:r>
      <w:r>
        <w:t xml:space="preserve">. See FDS-02-012 for the eligibility resolution rule.</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 Used at</w:t>
            </w:r>
            <w:r>
              <w:t xml:space="preserve"> </w:t>
            </w:r>
            <w:r>
              <w:rPr>
                <w:b/>
                <w:bCs/>
              </w:rPr>
              <w:t xml:space="preserve">Trim OUT</w:t>
            </w:r>
            <w:r>
              <w:t xml:space="preserve"> </w:t>
            </w:r>
            <w:r>
              <w:t xml:space="preserve">when the parent LOT distributes across N Machining Cells (per FDS-05-009).</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rPr>
                <w:b/>
                <w:bCs/>
              </w:rPr>
              <w:t xml:space="preserve">Repurposed v1.9 as</w:t>
            </w:r>
            <w:r>
              <w:rPr>
                <w:b/>
                <w:bCs/>
              </w:rPr>
              <w:t xml:space="preserve"> </w:t>
            </w:r>
            <w:r>
              <w:rPr>
                <w:rStyle w:val="VerbatimChar"/>
                <w:b/>
                <w:bCs/>
              </w:rPr>
              <w:t xml:space="preserve">PartsPerBasket</w:t>
            </w:r>
            <w:r>
              <w:rPr>
                <w:b/>
                <w:bCs/>
              </w:rPr>
              <w:t xml:space="preserve">.</w:t>
            </w:r>
            <w:r>
              <w:t xml:space="preserve"> </w:t>
            </w:r>
            <w:r>
              <w:t xml:space="preserve">One LOT = one basket = one LTT label at Die Cast / Trim / intermediate Machining, so</w:t>
            </w:r>
            <w:r>
              <w:t xml:space="preserve"> </w:t>
            </w:r>
            <w:r>
              <w:t xml:space="preserve">“max parts per LOT”</w:t>
            </w:r>
            <w:r>
              <w:t xml:space="preserve"> </w:t>
            </w:r>
            <w:r>
              <w:t xml:space="preserve">IS basket capacity. Config Tool Item screen labels this field</w:t>
            </w:r>
            <w:r>
              <w:t xml:space="preserve"> </w:t>
            </w:r>
            <w:r>
              <w:rPr>
                <w:rStyle w:val="VerbatimChar"/>
              </w:rPr>
              <w:t xml:space="preserve">PartsPerBasket</w:t>
            </w:r>
            <w:r>
              <w:t xml:space="preserve">. Distinct from</w:t>
            </w:r>
            <w:r>
              <w:t xml:space="preserve"> </w:t>
            </w:r>
            <w:r>
              <w:rPr>
                <w:rStyle w:val="VerbatimChar"/>
              </w:rPr>
              <w:t xml:space="preserve">MaxParts</w:t>
            </w:r>
            <w:r>
              <w:t xml:space="preserve"> </w:t>
            </w:r>
            <w:r>
              <w:t xml:space="preserve">(see next row). Formal column rename deferred.</w:t>
            </w:r>
          </w:p>
        </w:tc>
      </w:tr>
      <w:tr>
        <w:tc>
          <w:tcPr>
            <w:shd w:val="clear" w:color="auto" w:fill="F2F2F2"/>
          </w:tcPr>
          <w:tcPr/>
          <w:p>
            <w:pPr>
              <w:pStyle w:val="Compact"/>
            </w:pPr>
            <w:r>
              <w:t xml:space="preserve">MaxParts</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v1.9c (OI-12 correction).</w:t>
            </w:r>
            <w:r>
              <w:t xml:space="preserve"> </w:t>
            </w:r>
            <w:r>
              <w:t xml:space="preserve">Hard cap on pieces of this Item allowed at any single Location (e.g.,</w:t>
            </w:r>
            <w:r>
              <w:t xml:space="preserve"> </w:t>
            </w:r>
            <w:r>
              <w:t xml:space="preserve">“no more than 500 5G0 parts at any one Cell”</w:t>
            </w:r>
            <w:r>
              <w:t xml:space="preserve">). Scan-in mutation (LotMovement to a Cell) sums existing pieces of this Item already present at the destination Location across all open LOTs + incoming quantity; rejects if result &gt;</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(LocationAttribute on Cell — per-Location aggregate cap across</w:t>
            </w:r>
            <w:r>
              <w:t xml:space="preserve"> </w:t>
            </w:r>
            <w:r>
              <w:rPr>
                <w:b/>
                <w:bCs/>
              </w:rPr>
              <w:t xml:space="preserve">all</w:t>
            </w:r>
            <w:r>
              <w:t xml:space="preserve"> </w:t>
            </w:r>
            <w:r>
              <w:t xml:space="preserve">Items). Stops operators from over-scanning to avoid re-scan friction.</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r>
              <w:t xml:space="preserve">Counting UOM</w:t>
            </w:r>
          </w:p>
        </w:tc>
      </w:tr>
      <w:tr>
        <w:tc>
          <w:tcPr>
            <w:shd w:val="clear" w:color="auto" w:fill="F2F2F2"/>
          </w:tcPr>
          <w:tcPr/>
          <w:p>
            <w:pPr>
              <w:pStyle w:val="Compact"/>
            </w:pPr>
            <w:r>
              <w:t xml:space="preserve">UnitWeight</w:t>
            </w:r>
          </w:p>
        </w:tc>
        <w:tc>
          <w:tcPr>
            <w:shd w:val="clear" w:color="auto" w:fill="F2F2F2"/>
          </w:tcPr>
          <w:tcPr/>
          <w:p>
            <w:pPr>
              <w:pStyle w:val="Compact"/>
            </w:pPr>
            <w:r>
              <w:t xml:space="preserve">DECIMAL(10,4)</w:t>
            </w:r>
          </w:p>
        </w:tc>
        <w:tc>
          <w:tcPr>
            <w:shd w:val="clear" w:color="auto" w:fill="F2F2F2"/>
          </w:tcPr>
          <w:tcPr/>
          <w:p>
            <w:pPr>
              <w:pStyle w:val="Compact"/>
            </w:pPr>
            <w:r>
              <w:t xml:space="preserve">NULL</w:t>
            </w:r>
          </w:p>
        </w:tc>
        <w:tc>
          <w:tcPr>
            <w:shd w:val="clear" w:color="auto" w:fill="F2F2F2"/>
          </w:tcPr>
          <w:tcPr/>
          <w:p>
            <w:pPr>
              <w:pStyle w:val="Compact"/>
            </w:pPr>
            <w:r>
              <w:t xml:space="preserve">Weight per piece</w:t>
            </w: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r>
              <w:t xml:space="preserve">Weight UOM</w:t>
            </w:r>
          </w:p>
        </w:tc>
      </w:tr>
      <w:tr>
        <w:tc>
          <w:tcPr>
            <w:shd w:val="clear" w:color="auto" w:fill="F2F2F2"/>
          </w:tcPr>
          <w:tcPr/>
          <w:p>
            <w:pPr>
              <w:pStyle w:val="Compact"/>
            </w:pPr>
            <w:r>
              <w:t xml:space="preserve">CountryOfOrigin</w:t>
            </w:r>
          </w:p>
        </w:tc>
        <w:tc>
          <w:tcPr>
            <w:shd w:val="clear" w:color="auto" w:fill="F2F2F2"/>
          </w:tcPr>
          <w:tcPr/>
          <w:p>
            <w:pPr>
              <w:pStyle w:val="Compact"/>
            </w:pPr>
            <w:r>
              <w:t xml:space="preserve">NVARCHAR(2)</w:t>
            </w:r>
          </w:p>
        </w:tc>
        <w:tc>
          <w:tcPr>
            <w:shd w:val="clear" w:color="auto" w:fill="F2F2F2"/>
          </w:tcPr>
          <w:tcPr/>
          <w:p>
            <w:pPr>
              <w:pStyle w:val="Compact"/>
            </w:pPr>
            <w:r>
              <w:t xml:space="preserve">NULL</w:t>
            </w:r>
          </w:p>
        </w:tc>
        <w:tc>
          <w:tcPr>
            <w:shd w:val="clear" w:color="auto" w:fill="F2F2F2"/>
          </w:tcPr>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2"/>
    <w:bookmarkStart w:id="23"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AreaLocationId</w:t>
            </w:r>
          </w:p>
        </w:tc>
        <w:tc>
          <w:tcPr/>
          <w:p>
            <w:pPr>
              <w:pStyle w:val="Compact"/>
            </w:pPr>
            <w:r>
              <w:t xml:space="preserve">BIGINT</w:t>
            </w:r>
          </w:p>
        </w:tc>
        <w:tc>
          <w:tcPr/>
          <w:p>
            <w:pPr>
              <w:pStyle w:val="Compact"/>
            </w:pPr>
            <w:r>
              <w:t xml:space="preserve">FK → Location.Id, NOT NULL</w:t>
            </w:r>
          </w:p>
        </w:tc>
        <w:tc>
          <w:tcPr/>
          <w:p>
            <w:pPr>
              <w:pStyle w:val="Compact"/>
            </w:pPr>
            <w:r>
              <w:t xml:space="preserve">Area (ISA-95 Area, organizational grouping)</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itemlocation"/>
    <w:p>
      <w:pPr>
        <w:pStyle w:val="Heading3"/>
      </w:pPr>
      <w:r>
        <w:t xml:space="preserve">ItemLocation</w:t>
      </w:r>
    </w:p>
    <w:p>
      <w:pPr>
        <w:pStyle w:val="FirstParagraph"/>
      </w:pPr>
      <w:r>
        <w:t xml:space="preserve">Part-to-location eligibility (which parts can run where)</w:t>
      </w:r>
      <w:r>
        <w:t xml:space="preserve"> </w:t>
      </w:r>
      <w:r>
        <w:rPr>
          <w:b/>
          <w:bCs/>
        </w:rPr>
        <w:t xml:space="preserve">plus consumption metadata</w:t>
      </w:r>
      <w:r>
        <w:t xml:space="preserve"> </w:t>
      </w:r>
      <w:r>
        <w:t xml:space="preserve">for runtime Allocations.</w:t>
      </w:r>
    </w:p>
    <w:p>
      <w:pPr>
        <w:pStyle w:val="BodyText"/>
      </w:pPr>
      <w:r>
        <w:rPr>
          <w:b/>
          <w:bCs/>
        </w:rPr>
        <w:t xml:space="preserve">v1.9d (2026-04-24) — hierarchy-cascade extension (OI-18):</w:t>
      </w:r>
      <w:r>
        <w:t xml:space="preserve"> </w:t>
      </w:r>
      <w:r>
        <w:rPr>
          <w:rStyle w:val="VerbatimChar"/>
        </w:rPr>
        <w:t xml:space="preserve">LocationId</w:t>
      </w:r>
      <w:r>
        <w:t xml:space="preserve"> </w:t>
      </w:r>
      <w:r>
        <w:t xml:space="preserve">can point at</w:t>
      </w:r>
      <w:r>
        <w:t xml:space="preserve"> </w:t>
      </w:r>
      <w:r>
        <w:rPr>
          <w:b/>
          <w:bCs/>
        </w:rPr>
        <w:t xml:space="preserve">any Location tier</w:t>
      </w:r>
      <w:r>
        <w:t xml:space="preserve"> </w:t>
      </w:r>
      <w:r>
        <w:t xml:space="preserve">(Area, WorkCenter, or Cell). Eligibility checks at scan-in time cascade UP the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This enables</w:t>
      </w:r>
      <w:r>
        <w:t xml:space="preserve"> </w:t>
      </w:r>
      <w:r>
        <w:t xml:space="preserve">“Part 5G0 eligible across all of Die Cast Area”</w:t>
      </w:r>
      <w:r>
        <w:t xml:space="preserve"> </w:t>
      </w:r>
      <w:r>
        <w:t xml:space="preserve">with a single row. A helper proc</w:t>
      </w:r>
      <w:r>
        <w:t xml:space="preserve"> </w:t>
      </w:r>
      <w:r>
        <w:rPr>
          <w:rStyle w:val="VerbatimChar"/>
        </w:rPr>
        <w:t xml:space="preserve">Parts.ItemLocation_IsEligible(@ItemId, @CellLocationId)</w:t>
      </w:r>
      <w:r>
        <w:t xml:space="preserve"> </w:t>
      </w:r>
      <w:r>
        <w:t xml:space="preserve">walks parentage from the scanned Cell up to Site; first match returns eligible.</w:t>
      </w:r>
    </w:p>
    <w:p>
      <w:pPr>
        <w:pStyle w:val="BodyText"/>
      </w:pPr>
      <w:r>
        <w:rPr>
          <w:b/>
          <w:bCs/>
        </w:rPr>
        <w:t xml:space="preserve">v1.8 — consumption metadata:</w:t>
      </w:r>
      <w:r>
        <w:t xml:space="preserve"> </w:t>
      </w:r>
      <w:r>
        <w:t xml:space="preserve">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Consumption metadata is orthogonal to the hierarchy cascade — a row at the Area tier applies to every Cell under that Area.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rPr>
                <w:b/>
                <w:bCs/>
              </w:rPr>
              <w:t xml:space="preserve">v1.9d:</w:t>
            </w:r>
            <w:r>
              <w:t xml:space="preserve"> </w:t>
            </w:r>
            <w:r>
              <w:t xml:space="preserve">any tier (Area, WorkCenter, Cell). Eligibility at a Cell = ItemLocation row exists for the Cell OR any ancestor.</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t xml:space="preserve">Maximum pieces per scan-in — rejects over-scan. Added v1.8 (OI-18).</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0"/>
    <w:bookmarkStart w:id="31"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ClosureMethod</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t xml:space="preserve">One of</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w:t>
            </w:r>
            <w:r>
              <w:t xml:space="preserve">(NULL when not yet configured). Selects the</w:t>
            </w:r>
            <w:r>
              <w:t xml:space="preserve"> </w:t>
            </w:r>
            <w:r>
              <w:rPr>
                <w:b/>
                <w:bCs/>
              </w:rPr>
              <w:t xml:space="preserve">tray-level</w:t>
            </w:r>
            <w:r>
              <w:t xml:space="preserve"> </w:t>
            </w:r>
            <w:r>
              <w:t xml:space="preserve">closure trigger per FDS-06-014.</w:t>
            </w:r>
            <w:r>
              <w:t xml:space="preserve"> </w:t>
            </w:r>
            <w:r>
              <w:rPr>
                <w:rStyle w:val="VerbatimChar"/>
              </w:rPr>
              <w:t xml:space="preserve">ByCount</w:t>
            </w:r>
            <w:r>
              <w:t xml:space="preserve"> </w:t>
            </w:r>
            <w:r>
              <w:t xml:space="preserve">= operator-entered count per tray;</w:t>
            </w:r>
            <w:r>
              <w:t xml:space="preserve"> </w:t>
            </w:r>
            <w:r>
              <w:rPr>
                <w:rStyle w:val="VerbatimChar"/>
              </w:rPr>
              <w:t xml:space="preserve">ByWeight</w:t>
            </w:r>
            <w:r>
              <w:t xml:space="preserve"> </w:t>
            </w:r>
            <w:r>
              <w:t xml:space="preserve">= scale feedback via OmniServer (target on</w:t>
            </w:r>
            <w:r>
              <w:t xml:space="preserve"> </w:t>
            </w:r>
            <w:r>
              <w:rPr>
                <w:rStyle w:val="VerbatimChar"/>
              </w:rPr>
              <w:t xml:space="preserve">TargetWeight</w:t>
            </w:r>
            <w:r>
              <w:t xml:space="preserve">, PLC asserts</w:t>
            </w:r>
            <w:r>
              <w:t xml:space="preserve"> </w:t>
            </w:r>
            <w:r>
              <w:rPr>
                <w:rStyle w:val="VerbatimChar"/>
              </w:rPr>
              <w:t xml:space="preserve">TrayFullFlag</w:t>
            </w:r>
            <w:r>
              <w:t xml:space="preserve"> </w:t>
            </w:r>
            <w:r>
              <w:t xml:space="preserve">at threshold);</w:t>
            </w:r>
            <w:r>
              <w:t xml:space="preserve"> </w:t>
            </w:r>
            <w:r>
              <w:rPr>
                <w:rStyle w:val="VerbatimChar"/>
              </w:rPr>
              <w:t xml:space="preserve">ByVision</w:t>
            </w:r>
            <w:r>
              <w:t xml:space="preserve"> </w:t>
            </w:r>
            <w:r>
              <w:t xml:space="preserve">= camera validates each part (pass/fail per piece), PLC accumulates the validated count and asserts</w:t>
            </w:r>
            <w:r>
              <w:t xml:space="preserve"> </w:t>
            </w:r>
            <w:r>
              <w:rPr>
                <w:rStyle w:val="VerbatimChar"/>
              </w:rPr>
              <w:t xml:space="preserve">TrayFullFlag</w:t>
            </w:r>
            <w:r>
              <w:t xml:space="preserve"> </w:t>
            </w:r>
            <w:r>
              <w:t xml:space="preserve">at</w:t>
            </w:r>
            <w:r>
              <w:t xml:space="preserve"> </w:t>
            </w:r>
            <w:r>
              <w:rPr>
                <w:rStyle w:val="VerbatimChar"/>
              </w:rPr>
              <w:t xml:space="preserve">PartsPerTray</w:t>
            </w:r>
            <w:r>
              <w:t xml:space="preserve">. Container fill is derived in MES from accumulated tray closes — no separate</w:t>
            </w:r>
            <w:r>
              <w:t xml:space="preserve"> </w:t>
            </w:r>
            <w:r>
              <w:rPr>
                <w:rStyle w:val="VerbatimChar"/>
              </w:rPr>
              <w:t xml:space="preserve">ContainerFullFlag</w:t>
            </w:r>
            <w:r>
              <w:t xml:space="preserve"> </w:t>
            </w:r>
            <w:r>
              <w:t xml:space="preserve">PLC tag is required.</w:t>
            </w:r>
          </w:p>
        </w:tc>
      </w:tr>
      <w:tr>
        <w:tc>
          <w:tcPr/>
          <w:p>
            <w:pPr>
              <w:pStyle w:val="Compact"/>
            </w:pPr>
            <w:r>
              <w:t xml:space="preserve">TargetWeight</w:t>
            </w:r>
          </w:p>
        </w:tc>
        <w:tc>
          <w:tcPr/>
          <w:p>
            <w:pPr>
              <w:pStyle w:val="Compact"/>
            </w:pPr>
            <w:r>
              <w:t xml:space="preserve">DECIMAL(10,4)</w:t>
            </w:r>
          </w:p>
        </w:tc>
        <w:tc>
          <w:tcPr/>
          <w:p>
            <w:pPr>
              <w:pStyle w:val="Compact"/>
            </w:pPr>
            <w:r>
              <w:t xml:space="preserve">NULL</w:t>
            </w:r>
          </w:p>
        </w:tc>
        <w:tc>
          <w:tcPr/>
          <w:p>
            <w:pPr>
              <w:pStyle w:val="Compact"/>
            </w:pPr>
            <w:r>
              <w:t xml:space="preserve">Target weight for</w:t>
            </w:r>
            <w:r>
              <w:t xml:space="preserve"> </w:t>
            </w:r>
            <w:r>
              <w:rPr>
                <w:rStyle w:val="VerbatimChar"/>
              </w:rPr>
              <w:t xml:space="preserve">ByWeight</w:t>
            </w:r>
            <w:r>
              <w:t xml:space="preserve"> </w:t>
            </w:r>
            <w:r>
              <w:t xml:space="preserve">closure. Required when</w:t>
            </w:r>
            <w:r>
              <w:t xml:space="preserve"> </w:t>
            </w:r>
            <w:r>
              <w:rPr>
                <w:rStyle w:val="VerbatimChar"/>
              </w:rPr>
              <w:t xml:space="preserve">ClosureMethod = 'ByWeight'</w:t>
            </w:r>
            <w:r>
              <w:t xml:space="preserve">; ignored otherwise.</w:t>
            </w:r>
          </w:p>
        </w:tc>
      </w:tr>
      <w:tr>
        <w:tc>
          <w:tcPr>
            <w:shd w:val="clear" w:color="auto" w:fill="F2F2F2"/>
          </w:tcPr>
          <w:tcPr/>
          <w:p>
            <w:pPr>
              <w:pStyle w:val="Compact"/>
            </w:pPr>
            <w:r>
              <w:t xml:space="preserve">DunnageCode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NVARCHAR(50)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1"/>
    <w:bookmarkStart w:id="32" w:name="X929bf30983d616970e41147b9fb35af747c6e6a"/>
    <w:p>
      <w:pPr>
        <w:pStyle w:val="Heading3"/>
      </w:pPr>
      <w:r>
        <w:t xml:space="preserve">✅ Resolved (v1.8 rev / FDS-05-033 v0.11m): Trim → Machining Part Identity Change → 1-line BOM</w:t>
      </w:r>
    </w:p>
    <w:p>
      <w:pPr>
        <w:pStyle w:val="BlockText"/>
      </w:pPr>
      <w:r>
        <w:rPr>
          <w:b/>
          <w:bCs/>
        </w:rPr>
        <w:t xml:space="preserve">OI-11 resolution (2026-04-22) + FDS v0.11m boundary clarification (2026-04-28):</w:t>
      </w:r>
      <w:r>
        <w:t xml:space="preserve"> </w:t>
      </w:r>
      <w:r>
        <w:t xml:space="preserve">The part-identity rename was originally framed as</w:t>
      </w:r>
      <w:r>
        <w:t xml:space="preserve"> </w:t>
      </w:r>
      <w:r>
        <w:rPr>
          <w:b/>
          <w:bCs/>
        </w:rPr>
        <w:t xml:space="preserve">Casting → Trim</w:t>
      </w:r>
      <w:r>
        <w:t xml:space="preserve">; the v0.11m FDS continuity pass clarified that the rename actually fires one step downstream at</w:t>
      </w:r>
      <w:r>
        <w:t xml:space="preserve"> </w:t>
      </w:r>
      <w:r>
        <w:rPr>
          <w:b/>
          <w:bCs/>
        </w:rPr>
        <w:t xml:space="preserve">Trim → Machining</w:t>
      </w:r>
      <w:r>
        <w:t xml:space="preserve">. Within Casting and Trim the LOT retains a single cast-part identity — Trim’s sprue removal / deburr / wash work is yield loss recorded via</w:t>
      </w:r>
      <w:r>
        <w:t xml:space="preserve"> </w:t>
      </w:r>
      <w:r>
        <w:rPr>
          <w:rStyle w:val="VerbatimChar"/>
        </w:rPr>
        <w:t xml:space="preserve">Workorder.RejectEvent</w:t>
      </w:r>
      <w:r>
        <w:t xml:space="preserve"> </w:t>
      </w:r>
      <w:r>
        <w:t xml:space="preserve">on the same LOT, not a rename. The earlier v1.8 draft of a dedicated</w:t>
      </w:r>
      <w:r>
        <w:t xml:space="preserve"> </w:t>
      </w:r>
      <w:r>
        <w:rPr>
          <w:rStyle w:val="VerbatimChar"/>
        </w:rPr>
        <w:t xml:space="preserve">Parts.ItemTransform</w:t>
      </w:r>
      <w:r>
        <w:t xml:space="preserve"> </w:t>
      </w:r>
      <w:r>
        <w:t xml:space="preserve">table is still rejected on the same OI-11 grounds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AppUserId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trim piece becomes one machined piece) is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5G0-TRIM-4102</w:t>
      </w:r>
      <w:r>
        <w:t xml:space="preserve"> </w:t>
      </w:r>
      <w:r>
        <w:t xml:space="preserve">on the machined part.</w:t>
      </w:r>
    </w:p>
    <w:p>
      <w:pPr>
        <w:pStyle w:val="BlockText"/>
      </w:pPr>
      <w:r>
        <w:rPr>
          <w:b/>
          <w:bCs/>
        </w:rPr>
        <w:t xml:space="preserve">Modelled as:</w:t>
      </w:r>
    </w:p>
    <w:p>
      <w:pPr>
        <w:pStyle w:val="Compact"/>
        <w:numPr>
          <w:ilvl w:val="0"/>
          <w:numId w:val="1004"/>
        </w:numPr>
      </w:pPr>
      <w:r>
        <w:rPr>
          <w:rStyle w:val="VerbatimChar"/>
        </w:rPr>
        <w:t xml:space="preserve">Parts.Item</w:t>
      </w:r>
      <w:r>
        <w:t xml:space="preserve"> </w:t>
      </w:r>
      <w:r>
        <w:t xml:space="preserve">has two rows for the same physical part:</w:t>
      </w:r>
      <w:r>
        <w:t xml:space="preserve"> </w:t>
      </w:r>
      <w:r>
        <w:rPr>
          <w:rStyle w:val="VerbatimChar"/>
        </w:rPr>
        <w:t xml:space="preserve">5G0-TRIM-4102</w:t>
      </w:r>
      <w:r>
        <w:t xml:space="preserve"> </w:t>
      </w:r>
      <w:r>
        <w:t xml:space="preserve">(Component — covers both Casting and Trim work) and</w:t>
      </w:r>
      <w:r>
        <w:t xml:space="preserve"> </w:t>
      </w:r>
      <w:r>
        <w:rPr>
          <w:rStyle w:val="VerbatimChar"/>
        </w:rPr>
        <w:t xml:space="preserve">5G0-MACHINED-4102</w:t>
      </w:r>
      <w:r>
        <w:t xml:space="preserve"> </w:t>
      </w:r>
      <w:r>
        <w:t xml:space="preserve">(Sub-Assembly or Component depending on downstream use). Trim does</w:t>
      </w:r>
      <w:r>
        <w:t xml:space="preserve"> </w:t>
      </w:r>
      <w:r>
        <w:rPr>
          <w:b/>
          <w:bCs/>
        </w:rPr>
        <w:t xml:space="preserve">not</w:t>
      </w:r>
      <w:r>
        <w:t xml:space="preserve"> </w:t>
      </w:r>
      <w:r>
        <w:t xml:space="preserve">introduce a new Item; the cast/trim LOT carries the same</w:t>
      </w:r>
      <w:r>
        <w:t xml:space="preserve"> </w:t>
      </w:r>
      <w:r>
        <w:rPr>
          <w:rStyle w:val="VerbatimChar"/>
        </w:rPr>
        <w:t xml:space="preserve">ItemId</w:t>
      </w:r>
      <w:r>
        <w:t xml:space="preserve"> </w:t>
      </w:r>
      <w:r>
        <w:t xml:space="preserve">from Die Cast through Trim OUT.</w:t>
      </w:r>
    </w:p>
    <w:p>
      <w:pPr>
        <w:pStyle w:val="Compact"/>
        <w:numPr>
          <w:ilvl w:val="0"/>
          <w:numId w:val="1004"/>
        </w:numPr>
      </w:pPr>
      <w:r>
        <w:rPr>
          <w:rStyle w:val="VerbatimChar"/>
        </w:rPr>
        <w:t xml:space="preserve">Parts.Bom</w:t>
      </w:r>
      <w:r>
        <w:t xml:space="preserve"> </w:t>
      </w:r>
      <w:r>
        <w:t xml:space="preserve">for the machined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5G0-TRIM</w:t>
      </w:r>
      <w:r>
        <w:t xml:space="preserve"> </w:t>
      </w:r>
      <w:r>
        <w:t xml:space="preserve">and</w:t>
      </w:r>
      <w:r>
        <w:t xml:space="preserve"> </w:t>
      </w:r>
      <w:r>
        <w:rPr>
          <w:rStyle w:val="VerbatimChar"/>
        </w:rPr>
        <w:t xml:space="preserve">QtyPer = 1</w:t>
      </w:r>
      <w:r>
        <w:t xml:space="preserve">.</w:t>
      </w:r>
    </w:p>
    <w:p>
      <w:pPr>
        <w:pStyle w:val="Compact"/>
        <w:numPr>
          <w:ilvl w:val="0"/>
          <w:numId w:val="1004"/>
        </w:numPr>
      </w:pPr>
      <w:r>
        <w:t xml:space="preserve">At the first Machining Cell, the operator picks the next sub-LOT from the Cell’s FIFO queue (per FDS-06-007 — no scan-to-receive). The MES applies the BOM-driven rename:</w:t>
      </w:r>
      <w:r>
        <w:t xml:space="preserve"> </w:t>
      </w:r>
      <w:r>
        <w:rPr>
          <w:i/>
          <w:iCs/>
        </w:rPr>
        <w:t xml:space="preserve">“This LOT is 5G0-TRIM-4102. Receive as 5G0-MACHINED-4102?”</w:t>
      </w:r>
      <w:r>
        <w:t xml:space="preserve"> </w:t>
      </w:r>
      <w:r>
        <w:t xml:space="preserve">— the prompt is driven by BOM lookup (which finished items have the scanned Item as a component).</w:t>
      </w:r>
    </w:p>
    <w:p>
      <w:pPr>
        <w:pStyle w:val="Compact"/>
        <w:numPr>
          <w:ilvl w:val="0"/>
          <w:numId w:val="1004"/>
        </w:numPr>
      </w:pPr>
      <w:r>
        <w:t xml:space="preserve">On confirm, a new destination LOT of the machined part is created;</w:t>
      </w:r>
      <w:r>
        <w:t xml:space="preserve"> </w:t>
      </w:r>
      <w:r>
        <w:rPr>
          <w:rStyle w:val="VerbatimChar"/>
        </w:rPr>
        <w:t xml:space="preserve">Workorder.ConsumptionEvent</w:t>
      </w:r>
      <w:r>
        <w:t xml:space="preserve"> </w:t>
      </w:r>
      <w:r>
        <w:t xml:space="preserve">records the flow (source trim LOT → produced machined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4"/>
        </w:numPr>
      </w:pPr>
      <w:r>
        <w:t xml:space="preserve">Yield loss at Trim (sprue removal, deburr, wash) is captured via</w:t>
      </w:r>
      <w:r>
        <w:t xml:space="preserve"> </w:t>
      </w:r>
      <w:r>
        <w:rPr>
          <w:rStyle w:val="VerbatimChar"/>
        </w:rPr>
        <w:t xml:space="preserve">Workorder.RejectEvent</w:t>
      </w:r>
      <w:r>
        <w:t xml:space="preserve"> </w:t>
      </w:r>
      <w:r>
        <w:t xml:space="preserve">on the cast/trim LOT — no rename, no consumption event; trim work is rework against the same LOT.</w:t>
      </w:r>
    </w:p>
    <w:p>
      <w:pPr>
        <w:pStyle w:val="Compact"/>
        <w:numPr>
          <w:ilvl w:val="0"/>
          <w:numId w:val="1004"/>
        </w:numPr>
      </w:pPr>
      <w:r>
        <w:t xml:space="preserve">Yield loss at Machining (after the rename) is captured via</w:t>
      </w:r>
      <w:r>
        <w:t xml:space="preserve"> </w:t>
      </w:r>
      <w:r>
        <w:rPr>
          <w:rStyle w:val="VerbatimChar"/>
        </w:rPr>
        <w:t xml:space="preserve">Workorder.RejectEvent</w:t>
      </w:r>
      <w:r>
        <w:t xml:space="preserve"> </w:t>
      </w:r>
      <w:r>
        <w:t xml:space="preserve">on the machined LOT.</w:t>
      </w:r>
    </w:p>
    <w:p>
      <w:pPr>
        <w:pStyle w:val="Compact"/>
        <w:numPr>
          <w:ilvl w:val="0"/>
          <w:numId w:val="1004"/>
        </w:numPr>
      </w:pPr>
      <w:r>
        <w:t xml:space="preserve">Backward trace: a shipped machined LOT walks</w:t>
      </w:r>
      <w:r>
        <w:t xml:space="preserve"> </w:t>
      </w:r>
      <w:r>
        <w:rPr>
          <w:rStyle w:val="VerbatimChar"/>
        </w:rPr>
        <w:t xml:space="preserve">LotGenealogy</w:t>
      </w:r>
      <w:r>
        <w:t xml:space="preserve"> </w:t>
      </w:r>
      <w:r>
        <w:t xml:space="preserve">back to the trim/cast LOT in</w:t>
      </w:r>
      <w:r>
        <w:t xml:space="preserve"> </w:t>
      </w:r>
      <w:r>
        <w:rPr>
          <w:b/>
          <w:bCs/>
        </w:rPr>
        <w:t xml:space="preserve">one read</w:t>
      </w:r>
      <w:r>
        <w:t xml:space="preserve"> </w:t>
      </w:r>
      <w:r>
        <w:t xml:space="preserve">(single Machining-IN consumption hop). The trim/cast LOT carries the original Die Cast</w:t>
      </w:r>
      <w:r>
        <w:t xml:space="preserve"> </w:t>
      </w:r>
      <w:r>
        <w:rPr>
          <w:rStyle w:val="VerbatimChar"/>
        </w:rPr>
        <w:t xml:space="preserve">ProductionEvent</w:t>
      </w:r>
      <w:r>
        <w:t xml:space="preserve"> </w:t>
      </w:r>
      <w:r>
        <w:t xml:space="preserve">rows directly (cast machine / die / cavity / operator / timestamp reachable without a second hop) — Casting and Trim share the same</w:t>
      </w:r>
      <w:r>
        <w:t xml:space="preserve"> </w:t>
      </w:r>
      <w:r>
        <w:rPr>
          <w:rStyle w:val="VerbatimChar"/>
        </w:rPr>
        <w:t xml:space="preserve">LotId</w:t>
      </w:r>
      <w:r>
        <w:t xml:space="preserv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(FIFO pick + BOM-driven rename prompt + confirmation), the backward trace, and the FDS §5.7 Genealogy queries all work unchanged.</w:t>
      </w:r>
    </w:p>
    <w:bookmarkEnd w:id="32"/>
    <w:bookmarkStart w:id="33"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3"/>
    <w:bookmarkEnd w:id="34"/>
    <w:bookmarkStart w:id="56"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p>
      <w:pPr>
        <w:pStyle w:val="BodyText"/>
      </w:pPr>
      <w:r>
        <w:rPr>
          <w:b/>
          <w:bCs/>
        </w:rPr>
        <w:t xml:space="preserve">Views (v1.9e):</w:t>
      </w:r>
      <w:r>
        <w:t xml:space="preserve"> </w:t>
      </w:r>
      <w:r>
        <w:rPr>
          <w:rStyle w:val="VerbatimChar"/>
        </w:rPr>
        <w:t xml:space="preserve">Lots.v_LotDerivedQuantities (LotId, TotalInProcess, InventoryAvailable)</w:t>
      </w:r>
      <w:r>
        <w:t xml:space="preserve"> </w:t>
      </w:r>
      <w:r>
        <w:t xml:space="preserve">— computes Lot Details header quantities at read time 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aggregations +</w:t>
      </w:r>
      <w:r>
        <w:t xml:space="preserve"> </w:t>
      </w:r>
      <w:r>
        <w:rPr>
          <w:rStyle w:val="VerbatimChar"/>
        </w:rPr>
        <w:t xml:space="preserve">Workorder.ConsumptionEvent</w:t>
      </w:r>
      <w:r>
        <w:t xml:space="preserve"> </w:t>
      </w:r>
      <w:r>
        <w:t xml:space="preserve">aggregations. No materialized columns on</w:t>
      </w:r>
      <w:r>
        <w:t xml:space="preserve"> </w:t>
      </w:r>
      <w:r>
        <w:rPr>
          <w:rStyle w:val="VerbatimChar"/>
        </w:rPr>
        <w:t xml:space="preserve">Lots.Lot</w:t>
      </w:r>
      <w:r>
        <w:t xml:space="preserve">. Created in the Arc 2 Phase 2 migration. See FDS-05-031 for derivation formulas and rationale.</w:t>
      </w:r>
    </w:p>
    <w:bookmarkStart w:id="35"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5"/>
    <w:bookmarkStart w:id="36"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6"/>
    <w:bookmarkStart w:id="37"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7"/>
    <w:bookmarkStart w:id="38" w:name="lot"/>
    <w:p>
      <w:pPr>
        <w:pStyle w:val="Heading3"/>
      </w:pPr>
      <w:r>
        <w:t xml:space="preserve">Lot</w:t>
      </w:r>
    </w:p>
    <w:p>
      <w:pPr>
        <w:pStyle w:val="FirstParagraph"/>
      </w:pPr>
      <w:r>
        <w:t xml:space="preserve">The central tracking entity.</w:t>
      </w:r>
    </w:p>
    <w:p>
      <w:pPr>
        <w:pStyle w:val="BlockText"/>
      </w:pPr>
      <w:r>
        <w:rPr>
          <w:b/>
          <w:bCs/>
        </w:rPr>
        <w:t xml:space="preserve">v1.9 changes:</w:t>
      </w:r>
      <w:r>
        <w:t xml:space="preserve"> </w:t>
      </w:r>
      <w:r>
        <w:t xml:space="preserve">Added</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FKs (Tool/Cavity is system of record on the LOT, not on</w:t>
      </w:r>
      <w:r>
        <w:t xml:space="preserve"> </w:t>
      </w:r>
      <w:r>
        <w:rPr>
          <w:rStyle w:val="VerbatimChar"/>
        </w:rPr>
        <w:t xml:space="preserve">ProductionEvent</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w:t>
      </w:r>
      <w:r>
        <w:t xml:space="preserve">on blended-origin LOTs. Codifies OI-09: a die-cast machine with N active cavities produces</w:t>
      </w:r>
      <w:r>
        <w:t xml:space="preserve"> </w:t>
      </w:r>
      <w:r>
        <w:rPr>
          <w:b/>
          <w:bCs/>
        </w:rPr>
        <w:t xml:space="preserve">N parallel independent LOTs (not sublots)</w:t>
      </w:r>
      <w:r>
        <w:t xml:space="preserve"> </w:t>
      </w:r>
      <w:r>
        <w:t xml:space="preserve">— each LOT has fixed Tool + Cavity at creation, fills at its own rate, closes independently via explicit operator action. Pre-v1.9</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NVARCHAR columns are now legacy (retained for cutover transition; slated for removal once all writers use the FKs).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NULL</w:t>
            </w:r>
          </w:p>
        </w:tc>
        <w:tc>
          <w:tcPr>
            <w:shd w:val="clear" w:color="auto" w:fill="F2F2F2"/>
          </w:tcPr>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against</w:t>
            </w:r>
            <w:r>
              <w:t xml:space="preserve"> </w:t>
            </w:r>
            <w:r>
              <w:rPr>
                <w:rStyle w:val="VerbatimChar"/>
              </w:rPr>
              <w:t xml:space="preserve">Tools.ToolAssignment_ListActiveByCell</w:t>
            </w:r>
            <w:r>
              <w:t xml:space="preserve"> </w:t>
            </w:r>
            <w:r>
              <w:t xml:space="preserve">— the Tool must be currently mounted on the cell). NULL for other origins (Received, Trim / Machining intermediate, Assembly, Serialized). NULL after</w:t>
            </w:r>
            <w:r>
              <w:t xml:space="preserve"> </w:t>
            </w:r>
            <w:r>
              <w:rPr>
                <w:rStyle w:val="VerbatimChar"/>
              </w:rPr>
              <w:t xml:space="preserve">Lot_Merge</w:t>
            </w:r>
            <w:r>
              <w:t xml:space="preserve"> </w:t>
            </w:r>
            <w:r>
              <w:t xml:space="preserve">on blended-origin LOTs (can’t denormalize multiple Tools). Downstream LOTs do NOT carry — Honda-trace via</w:t>
            </w:r>
            <w:r>
              <w:t xml:space="preserve"> </w:t>
            </w:r>
            <w:r>
              <w:rPr>
                <w:rStyle w:val="VerbatimChar"/>
              </w:rPr>
              <w:t xml:space="preserve">LotGenealogy</w:t>
            </w:r>
            <w:r>
              <w:t xml:space="preserve"> </w:t>
            </w:r>
            <w:r>
              <w:t xml:space="preserve">traversal.</w:t>
            </w:r>
          </w:p>
        </w:tc>
      </w:tr>
      <w:tr>
        <w:tc>
          <w:tcPr/>
          <w:p>
            <w:pPr>
              <w:pStyle w:val="Compact"/>
            </w:pPr>
            <w:r>
              <w:t xml:space="preserve">ToolCavityId</w:t>
            </w:r>
          </w:p>
        </w:tc>
        <w:tc>
          <w:tcPr/>
          <w:p>
            <w:pPr>
              <w:pStyle w:val="Compact"/>
            </w:pPr>
            <w:r>
              <w:t xml:space="preserve">BIGINT</w:t>
            </w:r>
          </w:p>
        </w:tc>
        <w:tc>
          <w:tcPr/>
          <w:p>
            <w:pPr>
              <w:pStyle w:val="Compact"/>
            </w:pPr>
            <w:r>
              <w:t xml:space="preserve">FK → Tools.ToolCavity.Id, NULL</w:t>
            </w:r>
          </w:p>
        </w:tc>
        <w:tc>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cavity belongs to</w:t>
            </w:r>
            <w:r>
              <w:t xml:space="preserve"> </w:t>
            </w:r>
            <w:r>
              <w:rPr>
                <w:rStyle w:val="VerbatimChar"/>
              </w:rPr>
              <w:t xml:space="preserve">ToolId</w:t>
            </w:r>
            <w:r>
              <w:t xml:space="preserve"> </w:t>
            </w:r>
            <w:r>
              <w:t xml:space="preserve">+ cavity status is Active).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rPr>
                <w:b/>
                <w:bCs/>
              </w:rPr>
              <w:t xml:space="preserve">Legacy as of v1.9</w:t>
            </w:r>
            <w:r>
              <w:t xml:space="preserve"> </w:t>
            </w:r>
            <w:r>
              <w:t xml:space="preserve">— superseded by</w:t>
            </w:r>
            <w:r>
              <w:t xml:space="preserve"> </w:t>
            </w:r>
            <w:r>
              <w:rPr>
                <w:rStyle w:val="VerbatimChar"/>
              </w:rPr>
              <w:t xml:space="preserve">ToolId</w:t>
            </w:r>
            <w:r>
              <w:t xml:space="preserve"> </w:t>
            </w:r>
            <w:r>
              <w:t xml:space="preserve">FK above. Retained this release to support any cutover script needing the NVARCHAR form; scheduled for removal in a follow-up migration once all writers move to the Tool FK.</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rPr>
                <w:b/>
                <w:bCs/>
              </w:rPr>
              <w:t xml:space="preserve">Legacy as of v1.9</w:t>
            </w:r>
            <w:r>
              <w:t xml:space="preserve"> </w:t>
            </w:r>
            <w:r>
              <w:t xml:space="preserve">— superseded by</w:t>
            </w:r>
            <w:r>
              <w:t xml:space="preserve"> </w:t>
            </w:r>
            <w:r>
              <w:rPr>
                <w:rStyle w:val="VerbatimChar"/>
              </w:rPr>
              <w:t xml:space="preserve">ToolCavityId</w:t>
            </w:r>
            <w:r>
              <w:t xml:space="preserve"> </w:t>
            </w:r>
            <w:r>
              <w:t xml:space="preserve">FK. Retained for cutover transition; scheduled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w:t>
            </w:r>
            <w:r>
              <w:t xml:space="preserve"> </w:t>
            </w:r>
            <w:r>
              <w:rPr>
                <w:b/>
                <w:bCs/>
              </w:rPr>
              <w:t xml:space="preserve">Machining sub-LOTs</w:t>
            </w:r>
            <w:r>
              <w:t xml:space="preserve"> </w:t>
            </w:r>
            <w:r>
              <w:t xml:space="preserve">(FDS §5.4). Not used for cavity-parallel LOTs at Die Cast — those are peers, not parent/child.</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bookmarkEnd w:id="38"/>
    <w:bookmarkStart w:id="39"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0"/>
    <w:bookmarkStart w:id="41"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1"/>
    <w:bookmarkStart w:id="42"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2"/>
    <w:bookmarkStart w:id="43"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3"/>
    <w:bookmarkStart w:id="44"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4"/>
    <w:bookmarkStart w:id="45" w:name="identifiersequence"/>
    <w:p>
      <w:pPr>
        <w:pStyle w:val="Heading3"/>
      </w:pPr>
      <w:r>
        <w:t xml:space="preserve">IdentifierSequence</w:t>
      </w:r>
    </w:p>
    <w:p>
      <w:pPr>
        <w:pStyle w:val="FirstParagraph"/>
      </w:pPr>
      <w:r>
        <w:t xml:space="preserve">Added v1.9 (OI-31). Replaces Flexware’s</w:t>
      </w:r>
      <w:r>
        <w:t xml:space="preserve"> </w:t>
      </w:r>
      <w:r>
        <w:rPr>
          <w:rStyle w:val="VerbatimChar"/>
        </w:rPr>
        <w:t xml:space="preserve">IdentifierFormat</w:t>
      </w:r>
      <w:r>
        <w:t xml:space="preserve"> </w:t>
      </w:r>
      <w:r>
        <w:t xml:space="preserve">table and drives all MPP-internal identifier minting — Lot LTT barcode (</w:t>
      </w:r>
      <w:r>
        <w:rPr>
          <w:rStyle w:val="VerbatimChar"/>
        </w:rPr>
        <w:t xml:space="preserve">MESL{0:D7}</w:t>
      </w:r>
      <w:r>
        <w:t xml:space="preserve">), SerializedItem ID (</w:t>
      </w:r>
      <w:r>
        <w:rPr>
          <w:rStyle w:val="VerbatimChar"/>
        </w:rPr>
        <w:t xml:space="preserve">MESI{0:D7}</w:t>
      </w:r>
      <w:r>
        <w:t xml:space="preserve">), and any future non-AIM counters. Honda AIM shipper IDs are out of scope (those come from</w:t>
      </w:r>
      <w:r>
        <w:t xml:space="preserve"> </w:t>
      </w:r>
      <w:r>
        <w:rPr>
          <w:rStyle w:val="VerbatimChar"/>
        </w:rPr>
        <w:t xml:space="preserve">AIM.GetNextNumber</w:t>
      </w:r>
      <w:r>
        <w:t xml:space="preserve">). Cutover-day migration seeds</w:t>
      </w:r>
      <w:r>
        <w:t xml:space="preserve"> </w:t>
      </w:r>
      <w:r>
        <w:rPr>
          <w:rStyle w:val="VerbatimChar"/>
        </w:rPr>
        <w:t xml:space="preserve">LastValue</w:t>
      </w:r>
      <w:r>
        <w:t xml:space="preserve"> </w:t>
      </w:r>
      <w:r>
        <w:t xml:space="preserve">at or above the live Flexware value to avoid collisions with in-circulation LOTs.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Sequence key (e.g.,</w:t>
            </w:r>
            <w:r>
              <w:t xml:space="preserve"> </w:t>
            </w:r>
            <w:r>
              <w:rPr>
                <w:rStyle w:val="VerbatimChar"/>
              </w:rPr>
              <w:t xml:space="preserve">Lot</w:t>
            </w:r>
            <w:r>
              <w:t xml:space="preserve">,</w:t>
            </w:r>
            <w:r>
              <w:t xml:space="preserve"> </w:t>
            </w:r>
            <w:r>
              <w:rPr>
                <w:rStyle w:val="VerbatimChar"/>
              </w:rPr>
              <w:t xml:space="preserve">SerializedItem</w:t>
            </w:r>
            <w:r>
              <w:t xml:space="preserve">). Passed to</w:t>
            </w:r>
            <w:r>
              <w:t xml:space="preserve"> </w:t>
            </w:r>
            <w:r>
              <w:rPr>
                <w:rStyle w:val="VerbatimChar"/>
              </w:rPr>
              <w:t xml:space="preserve">IdentifierSequence_Next @Code</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FormatString</w:t>
            </w:r>
          </w:p>
        </w:tc>
        <w:tc>
          <w:tcPr/>
          <w:p>
            <w:pPr>
              <w:pStyle w:val="Compact"/>
            </w:pPr>
            <w:r>
              <w:t xml:space="preserve">NVARCHAR(50)</w:t>
            </w:r>
          </w:p>
        </w:tc>
        <w:tc>
          <w:tcPr/>
          <w:p>
            <w:pPr>
              <w:pStyle w:val="Compact"/>
            </w:pPr>
            <w:r>
              <w:t xml:space="preserve">NOT NULL</w:t>
            </w:r>
          </w:p>
        </w:tc>
        <w:tc>
          <w:tcPr/>
          <w:p>
            <w:pPr>
              <w:pStyle w:val="Compact"/>
            </w:pPr>
            <w:r>
              <w:rPr>
                <w:rStyle w:val="VerbatimChar"/>
              </w:rPr>
              <w:t xml:space="preserve">.NET</w:t>
            </w:r>
            <w:r>
              <w:t xml:space="preserve"> </w:t>
            </w:r>
            <w:r>
              <w:rPr>
                <w:rStyle w:val="VerbatimChar"/>
              </w:rPr>
              <w:t xml:space="preserve">string.Format</w:t>
            </w:r>
            <w:r>
              <w:t xml:space="preserve"> </w:t>
            </w:r>
            <w:r>
              <w:t xml:space="preserve">pattern, e.g.,</w:t>
            </w:r>
            <w:r>
              <w:t xml:space="preserve"> </w:t>
            </w:r>
            <w:r>
              <w:rPr>
                <w:rStyle w:val="VerbatimChar"/>
              </w:rPr>
              <w:t xml:space="preserve">MESL{0:D7}</w:t>
            </w:r>
            <w:r>
              <w:t xml:space="preserve"> </w:t>
            </w:r>
            <w:r>
              <w:t xml:space="preserve">produces</w:t>
            </w:r>
            <w:r>
              <w:t xml:space="preserve"> </w:t>
            </w:r>
            <w:r>
              <w:rPr>
                <w:rStyle w:val="VerbatimChar"/>
              </w:rPr>
              <w:t xml:space="preserve">MESL0000001</w:t>
            </w:r>
            <w:r>
              <w:t xml:space="preserve"> </w:t>
            </w:r>
            <w:r>
              <w:t xml:space="preserve">for value 1.</w:t>
            </w:r>
          </w:p>
        </w:tc>
      </w:tr>
      <w:tr>
        <w:tc>
          <w:tcPr>
            <w:shd w:val="clear" w:color="auto" w:fill="F2F2F2"/>
          </w:tcPr>
          <w:tcPr/>
          <w:p>
            <w:pPr>
              <w:pStyle w:val="Compact"/>
            </w:pPr>
            <w:r>
              <w:t xml:space="preserve">StartingValue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1</w:t>
            </w:r>
          </w:p>
        </w:tc>
        <w:tc>
          <w:tcPr>
            <w:shd w:val="clear" w:color="auto" w:fill="F2F2F2"/>
          </w:tcPr>
          <w:tcPr/>
          <w:p>
            <w:pPr>
              <w:pStyle w:val="Compact"/>
            </w:pPr>
            <w:r>
              <w:t xml:space="preserve">Lower bound of the numeric range</w:t>
            </w:r>
          </w:p>
        </w:tc>
      </w:tr>
      <w:tr>
        <w:tc>
          <w:tcPr/>
          <w:p>
            <w:pPr>
              <w:pStyle w:val="Compact"/>
            </w:pPr>
            <w:r>
              <w:t xml:space="preserve">EndingValue</w:t>
            </w:r>
          </w:p>
        </w:tc>
        <w:tc>
          <w:tcPr/>
          <w:p>
            <w:pPr>
              <w:pStyle w:val="Compact"/>
            </w:pPr>
            <w:r>
              <w:t xml:space="preserve">BIGINT</w:t>
            </w:r>
          </w:p>
        </w:tc>
        <w:tc>
          <w:tcPr/>
          <w:p>
            <w:pPr>
              <w:pStyle w:val="Compact"/>
            </w:pPr>
            <w:r>
              <w:t xml:space="preserve">NOT NULL, DEFAULT 9999999</w:t>
            </w:r>
          </w:p>
        </w:tc>
        <w:tc>
          <w:tcPr/>
          <w:p>
            <w:pPr>
              <w:pStyle w:val="Compact"/>
            </w:pPr>
            <w:r>
              <w:t xml:space="preserve">Upper bound before rollover —</w:t>
            </w:r>
            <w:r>
              <w:t xml:space="preserve"> </w:t>
            </w:r>
            <w:r>
              <w:rPr>
                <w:rStyle w:val="VerbatimChar"/>
              </w:rPr>
              <w:t xml:space="preserve">IdentifierSequence_Next</w:t>
            </w:r>
            <w:r>
              <w:t xml:space="preserve"> </w:t>
            </w:r>
            <w:r>
              <w:t xml:space="preserve">raises a business-rule error when</w:t>
            </w:r>
            <w:r>
              <w:t xml:space="preserve"> </w:t>
            </w:r>
            <w:r>
              <w:rPr>
                <w:rStyle w:val="VerbatimChar"/>
              </w:rPr>
              <w:t xml:space="preserve">LastValue + 1 &gt; EndingValue</w:t>
            </w:r>
            <w:r>
              <w:t xml:space="preserve"> </w:t>
            </w:r>
            <w:r>
              <w:t xml:space="preserve">without an explicit reset policy</w:t>
            </w:r>
          </w:p>
        </w:tc>
      </w:tr>
      <w:tr>
        <w:tc>
          <w:tcPr>
            <w:shd w:val="clear" w:color="auto" w:fill="F2F2F2"/>
          </w:tcPr>
          <w:tcPr/>
          <w:p>
            <w:pPr>
              <w:pStyle w:val="Compact"/>
            </w:pPr>
            <w:r>
              <w:t xml:space="preserve">LastValue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0</w:t>
            </w:r>
          </w:p>
        </w:tc>
        <w:tc>
          <w:tcPr>
            <w:shd w:val="clear" w:color="auto" w:fill="F2F2F2"/>
          </w:tcPr>
          <w:tcPr/>
          <w:p>
            <w:pPr>
              <w:pStyle w:val="Compact"/>
            </w:pPr>
            <w:r>
              <w:t xml:space="preserve">Most recent issued numeric value.</w:t>
            </w:r>
            <w:r>
              <w:t xml:space="preserve"> </w:t>
            </w:r>
            <w:r>
              <w:rPr>
                <w:rStyle w:val="VerbatimChar"/>
              </w:rPr>
              <w:t xml:space="preserve">IdentifierSequence_Next</w:t>
            </w:r>
            <w:r>
              <w:t xml:space="preserve"> </w:t>
            </w:r>
            <w:r>
              <w:t xml:space="preserve">atomically increments this and returns the formatted string.</w:t>
            </w:r>
          </w:p>
        </w:tc>
      </w:tr>
      <w:tr>
        <w:tc>
          <w:tcPr/>
          <w:p>
            <w:pPr>
              <w:pStyle w:val="Compact"/>
            </w:pPr>
            <w:r>
              <w:t xml:space="preserve">ResetIntervalMinutes</w:t>
            </w:r>
          </w:p>
        </w:tc>
        <w:tc>
          <w:tcPr/>
          <w:p>
            <w:pPr>
              <w:pStyle w:val="Compact"/>
            </w:pPr>
            <w:r>
              <w:t xml:space="preserve">INT</w:t>
            </w:r>
          </w:p>
        </w:tc>
        <w:tc>
          <w:tcPr/>
          <w:p>
            <w:pPr>
              <w:pStyle w:val="Compact"/>
            </w:pPr>
            <w:r>
              <w:t xml:space="preserve">NULL</w:t>
            </w:r>
          </w:p>
        </w:tc>
        <w:tc>
          <w:tcPr/>
          <w:p>
            <w:pPr>
              <w:pStyle w:val="Compact"/>
            </w:pPr>
            <w:r>
              <w:t xml:space="preserve">Unused at MPP today (Flexware has no reset policy); nullable for future line/shift-specific reset rules if MPP elects them.</w:t>
            </w:r>
          </w:p>
        </w:tc>
      </w:tr>
      <w:tr>
        <w:tc>
          <w:tcPr>
            <w:shd w:val="clear" w:color="auto" w:fill="F2F2F2"/>
          </w:tcPr>
          <w:tcPr/>
          <w:p>
            <w:pPr>
              <w:pStyle w:val="Compact"/>
            </w:pPr>
            <w:r>
              <w:t xml:space="preserve">LastResetAt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Timestamp of last reset (manual or scheduled); unused at MPP today</w:t>
            </w:r>
          </w:p>
        </w:tc>
      </w:tr>
      <w:tr>
        <w:tc>
          <w:tcPr/>
          <w:p>
            <w:pPr>
              <w:pStyle w:val="Compact"/>
            </w:pPr>
            <w:r>
              <w:t xml:space="preserve">UpdatedAt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Companion proc:</w:t>
      </w:r>
      <w:r>
        <w:t xml:space="preserve"> </w:t>
      </w:r>
      <w:r>
        <w:rPr>
          <w:rStyle w:val="VerbatimChar"/>
        </w:rPr>
        <w:t xml:space="preserve">Lots.IdentifierSequence_Next @Code</w:t>
      </w:r>
      <w:r>
        <w:t xml:space="preserve"> </w:t>
      </w:r>
      <w:r>
        <w:t xml:space="preserve">— single-row lookup + atomic</w:t>
      </w:r>
      <w:r>
        <w:t xml:space="preserve"> </w:t>
      </w:r>
      <w:r>
        <w:rPr>
          <w:rStyle w:val="VerbatimChar"/>
        </w:rPr>
        <w:t xml:space="preserve">UPDATE ... SET LastValue = LastValue + 1 OUTPUT inserted.LastValue, inserted.FormatString</w:t>
      </w:r>
      <w:r>
        <w:t xml:space="preserve"> </w:t>
      </w:r>
      <w:r>
        <w:t xml:space="preserve">inside a transaction, then formats the result. Raises on unknown</w:t>
      </w:r>
      <w:r>
        <w:t xml:space="preserve"> </w:t>
      </w:r>
      <w:r>
        <w:rPr>
          <w:rStyle w:val="VerbatimChar"/>
        </w:rPr>
        <w:t xml:space="preserve">@Code</w:t>
      </w:r>
      <w:r>
        <w:t xml:space="preserve"> </w:t>
      </w:r>
      <w:r>
        <w:t xml:space="preserve">and on rollover. Returns a single result set</w:t>
      </w:r>
      <w:r>
        <w:t xml:space="preserve"> </w:t>
      </w:r>
      <w:r>
        <w:rPr>
          <w:rStyle w:val="VerbatimChar"/>
        </w:rPr>
        <w:t xml:space="preserve">(Value NVARCHAR(50))</w:t>
      </w:r>
      <w:r>
        <w:t xml:space="preserve"> </w:t>
      </w:r>
      <w:r>
        <w:t xml:space="preserve">per the Ignition JDBC single-result-set convention (FDS-11-011).</w:t>
      </w:r>
    </w:p>
    <w:p>
      <w:pPr>
        <w:pStyle w:val="BodyText"/>
      </w:pPr>
      <w:r>
        <w:rPr>
          <w:b/>
          <w:bCs/>
        </w:rPr>
        <w:t xml:space="preserve">Seed data (Arc 2 Phase 1 migration, values confirmed on cutover day):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LastValue (Flexware sample 2026-04-23)</w:t>
            </w:r>
          </w:p>
        </w:tc>
      </w:tr>
      <w:tr>
        <w:tc>
          <w:tcPr/>
          <w:p>
            <w:pPr>
              <w:pStyle w:val="Compact"/>
            </w:pPr>
            <w:r>
              <w:t xml:space="preserve">Lot</w:t>
            </w:r>
          </w:p>
        </w:tc>
        <w:tc>
          <w:tcPr/>
          <w:p>
            <w:pPr>
              <w:pStyle w:val="Compact"/>
            </w:pPr>
            <w:r>
              <w:rPr>
                <w:rStyle w:val="VerbatimChar"/>
              </w:rPr>
              <w:t xml:space="preserve">MESL{0:D7}</w:t>
            </w:r>
          </w:p>
        </w:tc>
        <w:tc>
          <w:tcPr/>
          <w:p>
            <w:pPr>
              <w:pStyle w:val="Compact"/>
            </w:pPr>
            <w:r>
              <w:t xml:space="preserve">1,710,932 (drift expected; re-sample at cutover)</w:t>
            </w:r>
          </w:p>
        </w:tc>
      </w:tr>
      <w:tr>
        <w:tc>
          <w:tcPr>
            <w:shd w:val="clear" w:color="auto" w:fill="F2F2F2"/>
          </w:tcPr>
          <w:tcPr/>
          <w:p>
            <w:pPr>
              <w:pStyle w:val="Compact"/>
            </w:pPr>
            <w: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2,492 (drift expected; re-sample at cutover)</w:t>
            </w:r>
          </w:p>
        </w:tc>
      </w:tr>
    </w:tbl>
    <w:p>
      <w:pPr>
        <w:pStyle w:val="BodyText"/>
      </w:pPr>
      <w:r>
        <w:rPr>
          <w:b/>
          <w:bCs/>
        </w:rPr>
        <w:t xml:space="preserve">Open questions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Counter inventory is the two rows shown above — the Flexware</w:t>
      </w:r>
      <w:r>
        <w:t xml:space="preserve"> </w:t>
      </w:r>
      <w:r>
        <w:rPr>
          <w:rStyle w:val="VerbatimChar"/>
        </w:rPr>
        <w:t xml:space="preserve">IdentifierFormat</w:t>
      </w:r>
      <w:r>
        <w:t xml:space="preserve"> </w:t>
      </w:r>
      <w:r>
        <w:t xml:space="preserve">export is the authoritative list. See</w:t>
      </w:r>
      <w:r>
        <w:t xml:space="preserve"> </w:t>
      </w:r>
      <w:r>
        <w:rPr>
          <w:rStyle w:val="VerbatimChar"/>
        </w:rPr>
        <w:t xml:space="preserve">MPP_MES_Open_Issues_Register.docx</w:t>
      </w:r>
      <w:r>
        <w:t xml:space="preserve"> </w:t>
      </w:r>
      <w:r>
        <w:t xml:space="preserve">OI-31.</w:t>
      </w:r>
    </w:p>
    <w:bookmarkEnd w:id="45"/>
    <w:bookmarkStart w:id="46"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6"/>
    <w:bookmarkStart w:id="47"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7"/>
    <w:bookmarkStart w:id="48"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8"/>
    <w:bookmarkStart w:id="49"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9"/>
    <w:bookmarkStart w:id="50"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0"/>
    <w:bookmarkStart w:id="51"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odyText"/>
      </w:pPr>
      <w:r>
        <w:rPr>
          <w:b/>
          <w:bCs/>
        </w:rPr>
        <w:t xml:space="preserve">HardwareInterlockBypassed flag (UJ-16, ✅ Resolved 2026-04-27 per OIR v2.14, Option A).</w:t>
      </w:r>
      <w:r>
        <w:t xml:space="preserve"> </w:t>
      </w:r>
      <w:r>
        <w:t xml:space="preserve">When</w:t>
      </w:r>
      <w:r>
        <w:t xml:space="preserve"> </w:t>
      </w:r>
      <w:r>
        <w:rPr>
          <w:rStyle w:val="VerbatimChar"/>
        </w:rPr>
        <w:t xml:space="preserve">HardwareInterlockEnable=false</w:t>
      </w:r>
      <w:r>
        <w:t xml:space="preserve">, parts enter containers without MES serial validation. A</w:t>
      </w:r>
      <w:r>
        <w:t xml:space="preserve"> </w:t>
      </w:r>
      <w:r>
        <w:rPr>
          <w:rStyle w:val="VerbatimChar"/>
        </w:rPr>
        <w:t xml:space="preserve">HardwareInterlockBypassed BIT NOT NULL DEFAULT 0</w:t>
      </w:r>
      <w:r>
        <w:t xml:space="preserve"> </w:t>
      </w:r>
      <w:r>
        <w:t xml:space="preserve">column SHALL be added to</w:t>
      </w:r>
      <w:r>
        <w:t xml:space="preserve"> </w:t>
      </w:r>
      <w:r>
        <w:rPr>
          <w:rStyle w:val="VerbatimChar"/>
        </w:rPr>
        <w:t xml:space="preserve">ContainerSerial</w:t>
      </w:r>
      <w:r>
        <w:t xml:space="preserve"> </w:t>
      </w:r>
      <w:r>
        <w:t xml:space="preserve">to mark the specific serial-to-container assignment as having skipped validation. The flag lives on</w:t>
      </w:r>
      <w:r>
        <w:t xml:space="preserve"> </w:t>
      </w:r>
      <w:r>
        <w:rPr>
          <w:rStyle w:val="VerbatimChar"/>
        </w:rPr>
        <w:t xml:space="preserve">ContainerSerial</w:t>
      </w:r>
      <w:r>
        <w:t xml:space="preserve"> </w:t>
      </w:r>
      <w:r>
        <w:t xml:space="preserve">(not</w:t>
      </w:r>
      <w:r>
        <w:t xml:space="preserve"> </w:t>
      </w:r>
      <w:r>
        <w:rPr>
          <w:rStyle w:val="VerbatimChar"/>
        </w:rPr>
        <w:t xml:space="preserve">ProductionEvent</w:t>
      </w:r>
      <w:r>
        <w:t xml:space="preserve">) because the bypass is observed at the per-piece serial-assignment level — broader event-level tracking via</w:t>
      </w:r>
      <w:r>
        <w:t xml:space="preserve"> </w:t>
      </w:r>
      <w:r>
        <w:rPr>
          <w:rStyle w:val="VerbatimChar"/>
        </w:rPr>
        <w:t xml:space="preserve">ProductionEvent</w:t>
      </w:r>
      <w:r>
        <w:t xml:space="preserve"> </w:t>
      </w:r>
      <w:r>
        <w:t xml:space="preserve">would lose the per-piece granularity. Schema add deferred to Arc 2 Phase 7 alongside the rest of the Container schema CREATE.</w:t>
      </w:r>
    </w:p>
    <w:bookmarkEnd w:id="51"/>
    <w:bookmarkStart w:id="52" w:name="shippinglabel"/>
    <w:p>
      <w:pPr>
        <w:pStyle w:val="Heading3"/>
      </w:pPr>
      <w:r>
        <w:t xml:space="preserve">ShippingLabel</w:t>
      </w:r>
    </w:p>
    <w:p>
      <w:pPr>
        <w:pStyle w:val="FirstParagraph"/>
      </w:pPr>
      <w:r>
        <w:t xml:space="preserve">Container shipping label print/void history.</w:t>
      </w:r>
      <w:r>
        <w:t xml:space="preserve"> </w:t>
      </w:r>
      <w:r>
        <w:rPr>
          <w:b/>
          <w:bCs/>
        </w:rPr>
        <w:t xml:space="preserve">v1.9i (UJ-18 Gateway-script-async print pattern):</w:t>
      </w:r>
      <w:r>
        <w:t xml:space="preserve"> </w:t>
      </w:r>
      <w:r>
        <w:t xml:space="preserve">print state lives on this row — no separate queue table. Operator close transaction is atomic and zero-latency (same v1.9h AIM pool flow); print dispatch is event-driven via Gateway message handler with 3 retries (2s gap), banner-on-failure at the closing terminal.</w:t>
      </w:r>
      <w:r>
        <w:t xml:space="preserve"> </w:t>
      </w:r>
      <w:r>
        <w:rPr>
          <w:b/>
          <w:bCs/>
        </w:rPr>
        <w:t xml:space="preserve">v1.9k:</w:t>
      </w:r>
      <w:r>
        <w:t xml:space="preserve"> </w:t>
      </w:r>
      <w:r>
        <w:rPr>
          <w:rStyle w:val="VerbatimChar"/>
        </w:rPr>
        <w:t xml:space="preserve">BannerAcknowledgedAt</w:t>
      </w:r>
      <w:r>
        <w:t xml:space="preserve"> </w:t>
      </w:r>
      <w:r>
        <w:t xml:space="preserve">added to record operator dismissal of the print-failure banner — supports the FDS-07-006b broadcast-with-session-filter Acknowledge action.</w:t>
      </w:r>
    </w:p>
    <w:p>
      <w:pPr>
        <w:pStyle w:val="BodyText"/>
      </w:pPr>
      <w:r>
        <w:t xml:space="preserve">State derivation:</w:t>
      </w:r>
    </w:p>
    <w:p>
      <w:pPr>
        <w:pStyle w:val="Compact"/>
        <w:numPr>
          <w:ilvl w:val="0"/>
          <w:numId w:val="1005"/>
        </w:numPr>
      </w:pPr>
      <w:r>
        <w:rPr>
          <w:b/>
          <w:bCs/>
        </w:rPr>
        <w:t xml:space="preserve">Pending</w:t>
      </w:r>
      <w:r>
        <w:t xml:space="preserve"> </w:t>
      </w:r>
      <w:r>
        <w:t xml:space="preserve">—</w:t>
      </w:r>
      <w:r>
        <w:t xml:space="preserve"> </w:t>
      </w:r>
      <w:r>
        <w:rPr>
          <w:rStyle w:val="VerbatimChar"/>
        </w:rPr>
        <w:t xml:space="preserve">PrintedAt IS NULL AND PrintFailedAt IS NULL</w:t>
      </w:r>
    </w:p>
    <w:p>
      <w:pPr>
        <w:pStyle w:val="Compact"/>
        <w:numPr>
          <w:ilvl w:val="0"/>
          <w:numId w:val="1005"/>
        </w:numPr>
      </w:pPr>
      <w:r>
        <w:rPr>
          <w:b/>
          <w:bCs/>
        </w:rPr>
        <w:t xml:space="preserve">Completed</w:t>
      </w:r>
      <w:r>
        <w:t xml:space="preserve"> </w:t>
      </w:r>
      <w:r>
        <w:t xml:space="preserve">—</w:t>
      </w:r>
      <w:r>
        <w:t xml:space="preserve"> </w:t>
      </w:r>
      <w:r>
        <w:rPr>
          <w:rStyle w:val="VerbatimChar"/>
        </w:rPr>
        <w:t xml:space="preserve">PrintedAt IS NOT NULL</w:t>
      </w:r>
    </w:p>
    <w:p>
      <w:pPr>
        <w:pStyle w:val="Compact"/>
        <w:numPr>
          <w:ilvl w:val="0"/>
          <w:numId w:val="1005"/>
        </w:numPr>
      </w:pPr>
      <w:r>
        <w:rPr>
          <w:b/>
          <w:bCs/>
        </w:rPr>
        <w:t xml:space="preserve">Failed</w:t>
      </w:r>
      <w:r>
        <w:t xml:space="preserve"> </w:t>
      </w:r>
      <w:r>
        <w:t xml:space="preserve">—</w:t>
      </w:r>
      <w:r>
        <w:t xml:space="preserve"> </w:t>
      </w:r>
      <w:r>
        <w:rPr>
          <w:rStyle w:val="VerbatimChar"/>
        </w:rPr>
        <w:t xml:space="preserve">PrintFailedAt IS NOT NULL AND BannerAcknowledgedAt IS NULL</w:t>
      </w:r>
      <w:r>
        <w:t xml:space="preserve"> </w:t>
      </w:r>
      <w:r>
        <w:t xml:space="preserve">(banner showing)</w:t>
      </w:r>
    </w:p>
    <w:p>
      <w:pPr>
        <w:pStyle w:val="Compact"/>
        <w:numPr>
          <w:ilvl w:val="0"/>
          <w:numId w:val="1005"/>
        </w:numPr>
      </w:pPr>
      <w:r>
        <w:rPr>
          <w:b/>
          <w:bCs/>
        </w:rPr>
        <w:t xml:space="preserve">Failed-acknowledged</w:t>
      </w:r>
      <w:r>
        <w:t xml:space="preserve"> </w:t>
      </w:r>
      <w:r>
        <w:t xml:space="preserve">—</w:t>
      </w:r>
      <w:r>
        <w:t xml:space="preserve"> </w:t>
      </w:r>
      <w:r>
        <w:rPr>
          <w:rStyle w:val="VerbatimChar"/>
        </w:rPr>
        <w:t xml:space="preserve">PrintFailedAt IS NOT NULL AND BannerAcknowledgedAt IS NOT NULL</w:t>
      </w:r>
      <w:r>
        <w:t xml:space="preserve"> </w:t>
      </w:r>
      <w:r>
        <w:t xml:space="preserve">(banner dismissed; row remains in failed state for the safety-sweep alarm)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the AimShipperIdPool claim at close time.</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r>
              <w:t xml:space="preserve">NULL until the Gateway print handler succeeds.</w:t>
            </w: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PrintAttempts</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rPr>
                <w:b/>
                <w:bCs/>
              </w:rPr>
              <w:t xml:space="preserve">Added v1.9i.</w:t>
            </w:r>
            <w:r>
              <w:t xml:space="preserve"> </w:t>
            </w:r>
            <w:r>
              <w:t xml:space="preserve">Increments per print attempt by the Gateway message handler.</w:t>
            </w:r>
          </w:p>
        </w:tc>
      </w:tr>
      <w:tr>
        <w:tc>
          <w:tcPr/>
          <w:p>
            <w:pPr>
              <w:pStyle w:val="Compact"/>
            </w:pPr>
            <w:r>
              <w:t xml:space="preserve">LastPrintAttemptAt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Timestamp of most recent print try.</w:t>
            </w:r>
          </w:p>
        </w:tc>
      </w:tr>
      <w:tr>
        <w:tc>
          <w:tcPr>
            <w:shd w:val="clear" w:color="auto" w:fill="F2F2F2"/>
          </w:tcPr>
          <w:tcPr/>
          <w:p>
            <w:pPr>
              <w:pStyle w:val="Compact"/>
            </w:pPr>
            <w:r>
              <w:t xml:space="preserve">LastPrintError</w:t>
            </w:r>
          </w:p>
        </w:tc>
        <w:tc>
          <w:tcPr>
            <w:shd w:val="clear" w:color="auto" w:fill="F2F2F2"/>
          </w:tcPr>
          <w:tcPr/>
          <w:p>
            <w:pPr>
              <w:pStyle w:val="Compact"/>
            </w:pPr>
            <w:r>
              <w:t xml:space="preserve">NVARCHAR(2000)</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v1.9i.</w:t>
            </w:r>
            <w:r>
              <w:t xml:space="preserve"> </w:t>
            </w:r>
            <w:r>
              <w:t xml:space="preserve">Captured exception text from the most recent failed attempt.</w:t>
            </w:r>
          </w:p>
        </w:tc>
      </w:tr>
      <w:tr>
        <w:tc>
          <w:tcPr/>
          <w:p>
            <w:pPr>
              <w:pStyle w:val="Compact"/>
            </w:pPr>
            <w:r>
              <w:t xml:space="preserve">PrintFailedAt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Non-NULL = retries exhausted (3 attempts × 2s gap). Drives the banner shown at</w:t>
            </w:r>
            <w:r>
              <w:t xml:space="preserve"> </w:t>
            </w:r>
            <w:r>
              <w:rPr>
                <w:rStyle w:val="VerbatimChar"/>
              </w:rPr>
              <w:t xml:space="preserve">TerminalLocationId</w:t>
            </w:r>
            <w:r>
              <w:t xml:space="preserve">.</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NULL</w:t>
            </w:r>
          </w:p>
        </w:tc>
        <w:tc>
          <w:tcPr>
            <w:shd w:val="clear" w:color="auto" w:fill="F2F2F2"/>
          </w:tcPr>
          <w:tcPr/>
          <w:p>
            <w:pPr>
              <w:pStyle w:val="Compact"/>
            </w:pPr>
            <w:r>
              <w:rPr>
                <w:b/>
                <w:bCs/>
              </w:rPr>
              <w:t xml:space="preserve">Added v1.9i.</w:t>
            </w:r>
            <w:r>
              <w:t xml:space="preserve"> </w:t>
            </w:r>
            <w:r>
              <w:t xml:space="preserve">The Terminal where the closing operator was — drives both the printer pick (resolved via</w:t>
            </w:r>
            <w:r>
              <w:t xml:space="preserve"> </w:t>
            </w:r>
            <w:r>
              <w:rPr>
                <w:rStyle w:val="VerbatimChar"/>
              </w:rPr>
              <w:t xml:space="preserve">LocationAttribute</w:t>
            </w:r>
            <w:r>
              <w:t xml:space="preserve"> </w:t>
            </w:r>
            <w:r>
              <w:t xml:space="preserve">on parent Cell) and the banner routing (banner shows only at this Terminal).</w:t>
            </w:r>
          </w:p>
        </w:tc>
      </w:tr>
      <w:tr>
        <w:tc>
          <w:tcPr/>
          <w:p>
            <w:pPr>
              <w:pStyle w:val="Compact"/>
            </w:pPr>
            <w:r>
              <w:t xml:space="preserve">BannerAcknowledgedAt</w:t>
            </w:r>
          </w:p>
        </w:tc>
        <w:tc>
          <w:tcPr/>
          <w:p>
            <w:pPr>
              <w:pStyle w:val="Compact"/>
            </w:pPr>
            <w:r>
              <w:t xml:space="preserve">DATETIME2(3)</w:t>
            </w:r>
          </w:p>
        </w:tc>
        <w:tc>
          <w:tcPr/>
          <w:p>
            <w:pPr>
              <w:pStyle w:val="Compact"/>
            </w:pPr>
            <w:r>
              <w:t xml:space="preserve">NULL</w:t>
            </w:r>
          </w:p>
        </w:tc>
        <w:tc>
          <w:tcPr/>
          <w:p>
            <w:pPr>
              <w:pStyle w:val="Compact"/>
            </w:pPr>
            <w:r>
              <w:rPr>
                <w:b/>
                <w:bCs/>
              </w:rPr>
              <w:t xml:space="preserve">Added v1.9k.</w:t>
            </w:r>
            <w:r>
              <w:t xml:space="preserve"> </w:t>
            </w:r>
            <w:r>
              <w:t xml:space="preserve">Non-NULL when the operator at</w:t>
            </w:r>
            <w:r>
              <w:t xml:space="preserve"> </w:t>
            </w:r>
            <w:r>
              <w:rPr>
                <w:rStyle w:val="VerbatimChar"/>
              </w:rPr>
              <w:t xml:space="preserve">TerminalLocationId</w:t>
            </w:r>
            <w:r>
              <w:t xml:space="preserve"> </w:t>
            </w:r>
            <w:r>
              <w:t xml:space="preserve">dismissed the print-failure banner via the Acknowledge action (FDS-07-006b). Independent of</w:t>
            </w:r>
            <w:r>
              <w:t xml:space="preserve"> </w:t>
            </w:r>
            <w:r>
              <w:rPr>
                <w:rStyle w:val="VerbatimChar"/>
              </w:rPr>
              <w:t xml:space="preserve">PrintFailedAt</w:t>
            </w:r>
            <w:r>
              <w:t xml:space="preserve"> </w:t>
            </w:r>
            <w:r>
              <w:t xml:space="preserve">— the row stays in failed state for the safety-sweep alarm even after acknowledgement; this column only suppresses the banner UI. NULL while the banner is active.</w:t>
            </w:r>
          </w:p>
        </w:tc>
      </w:tr>
    </w:tbl>
    <w:bookmarkEnd w:id="52"/>
    <w:bookmarkStart w:id="53" w:name="pauseevent"/>
    <w:p>
      <w:pPr>
        <w:pStyle w:val="Heading3"/>
      </w:pPr>
      <w:r>
        <w:t xml:space="preserve">PauseEvent</w:t>
      </w:r>
    </w:p>
    <w:p>
      <w:pPr>
        <w:pStyle w:val="FirstParagraph"/>
      </w:pPr>
      <w:r>
        <w:rPr>
          <w:b/>
          <w:bCs/>
        </w:rPr>
        <w:t xml:space="preserve">Added v1.9g (OI-21 — Pausable LOT at Workstation).</w:t>
      </w:r>
      <w:r>
        <w:t xml:space="preserve"> </w:t>
      </w:r>
      <w:r>
        <w:t xml:space="preserve">Captures an operator’s deliberate pause of a partially-progressed LOT at a Cell so the operator may shift focus to a different LOT at the same Cell. Append-only place + close lifecycle — mirrors</w:t>
      </w:r>
      <w:r>
        <w:t xml:space="preserve"> </w:t>
      </w:r>
      <w:r>
        <w:rPr>
          <w:rStyle w:val="VerbatimChar"/>
        </w:rPr>
        <w:t xml:space="preserve">Quality.HoldEvent</w:t>
      </w:r>
      <w:r>
        <w:t xml:space="preserve">. The same LOT MAY be paused at multiple Cells simultaneously (e.g., a Machining LOT pending mid-assembly while another assembly LOT is run); the filtered UNIQUE limits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Pause is orthogonal 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w:t>
      </w:r>
      <w:r>
        <w:t xml:space="preserve">— no enum extension is required on any of those code tables. There is no TTL — paused LOTs persist indefinitely; resume MAY be performed by any operator (does not need to match</w:t>
      </w:r>
      <w:r>
        <w:t xml:space="preserve"> </w:t>
      </w:r>
      <w:r>
        <w:rPr>
          <w:rStyle w:val="VerbatimChar"/>
        </w:rPr>
        <w:t xml:space="preserve">PausedByUserId</w:t>
      </w:r>
      <w:r>
        <w:t xml:space="preserve">). Drives the</w:t>
      </w:r>
      <w:r>
        <w:t xml:space="preserve"> </w:t>
      </w:r>
      <w:r>
        <w:rPr>
          <w:b/>
          <w:bCs/>
        </w:rPr>
        <w:t xml:space="preserve">Paused-LOT indicator</w:t>
      </w:r>
      <w:r>
        <w:t xml:space="preserve"> </w:t>
      </w:r>
      <w:r>
        <w:t xml:space="preserve">on every workstation screen (count + tap-through to detail list, per FDS-05-038).</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The LOT being paused at this Cell.</w:t>
            </w: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The Cell where the pause is recorded. Should be a Cell-tier production location; not enforced at the schema level (proc layer enforces).</w:t>
            </w:r>
          </w:p>
        </w:tc>
      </w:tr>
      <w:tr>
        <w:tc>
          <w:tcPr>
            <w:shd w:val="clear" w:color="auto" w:fill="F2F2F2"/>
          </w:tcPr>
          <w:tcPr/>
          <w:p>
            <w:pPr>
              <w:pStyle w:val="Compact"/>
            </w:pPr>
            <w:r>
              <w:t xml:space="preserve">PausedByUserId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placed the pause.</w:t>
            </w:r>
          </w:p>
        </w:tc>
      </w:tr>
      <w:tr>
        <w:tc>
          <w:tcPr/>
          <w:p>
            <w:pPr>
              <w:pStyle w:val="Compact"/>
            </w:pPr>
            <w:r>
              <w:t xml:space="preserve">PausedAt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PausedReason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r>
              <w:t xml:space="preserve">Optional — operator MAY pause without entering a reason.</w:t>
            </w:r>
          </w:p>
        </w:tc>
      </w:tr>
      <w:tr>
        <w:tc>
          <w:tcPr/>
          <w:p>
            <w:pPr>
              <w:pStyle w:val="Compact"/>
            </w:pPr>
            <w:r>
              <w:t xml:space="preserve">ResumedByUserId</w:t>
            </w:r>
          </w:p>
        </w:tc>
        <w:tc>
          <w:tcPr/>
          <w:p>
            <w:pPr>
              <w:pStyle w:val="Compact"/>
            </w:pPr>
            <w:r>
              <w:t xml:space="preserve">BIGINT</w:t>
            </w:r>
          </w:p>
        </w:tc>
        <w:tc>
          <w:tcPr/>
          <w:p>
            <w:pPr>
              <w:pStyle w:val="Compact"/>
            </w:pPr>
            <w:r>
              <w:t xml:space="preserve">FK → AppUser.Id, NULL</w:t>
            </w:r>
          </w:p>
        </w:tc>
        <w:tc>
          <w:tcPr/>
          <w:p>
            <w:pPr>
              <w:pStyle w:val="Compact"/>
            </w:pPr>
            <w:r>
              <w:t xml:space="preserve">NULL while pause is open. NOT required to match</w:t>
            </w:r>
            <w:r>
              <w:t xml:space="preserve"> </w:t>
            </w:r>
            <w:r>
              <w:rPr>
                <w:rStyle w:val="VerbatimChar"/>
              </w:rPr>
              <w:t xml:space="preserve">PausedByUserId</w:t>
            </w:r>
            <w:r>
              <w:t xml:space="preserve"> </w:t>
            </w:r>
            <w:r>
              <w:t xml:space="preserve">— paused LOTs cross shift / operator boundaries.</w:t>
            </w:r>
          </w:p>
        </w:tc>
      </w:tr>
      <w:tr>
        <w:tc>
          <w:tcPr>
            <w:shd w:val="clear" w:color="auto" w:fill="F2F2F2"/>
          </w:tcPr>
          <w:tcPr/>
          <w:p>
            <w:pPr>
              <w:pStyle w:val="Compact"/>
            </w:pPr>
            <w:r>
              <w:t xml:space="preserve">ResumedAt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pause is open.</w:t>
            </w:r>
          </w:p>
        </w:tc>
      </w:tr>
      <w:tr>
        <w:tc>
          <w:tcPr/>
          <w:p>
            <w:pPr>
              <w:pStyle w:val="Compact"/>
            </w:pPr>
            <w:r>
              <w:t xml:space="preserve">ResumedRemarks</w:t>
            </w:r>
          </w:p>
        </w:tc>
        <w:tc>
          <w:tcPr/>
          <w:p>
            <w:pPr>
              <w:pStyle w:val="Compact"/>
            </w:pPr>
            <w:r>
              <w:t xml:space="preserve">NVARCHAR(500)</w:t>
            </w:r>
          </w:p>
        </w:tc>
        <w:tc>
          <w:tcPr/>
          <w:p>
            <w:pPr>
              <w:pStyle w:val="Compact"/>
            </w:pPr>
            <w:r>
              <w:t xml:space="preserve">NULL</w:t>
            </w:r>
          </w:p>
        </w:tc>
        <w:tc>
          <w:tcPr/>
          <w:p>
            <w:pPr>
              <w:pStyle w:val="Compact"/>
            </w:pPr>
            <w:r>
              <w:t xml:space="preserve">Optional resume note.</w:t>
            </w:r>
          </w:p>
        </w:tc>
      </w:tr>
    </w:tbl>
    <w:p>
      <w:pPr>
        <w:pStyle w:val="BodyText"/>
      </w:pPr>
      <w:r>
        <w:rPr>
          <w:b/>
          <w:bCs/>
        </w:rPr>
        <w:t xml:space="preserve">Constraints:</w:t>
      </w:r>
    </w:p>
    <w:p>
      <w:pPr>
        <w:pStyle w:val="Compact"/>
        <w:numPr>
          <w:ilvl w:val="0"/>
          <w:numId w:val="1006"/>
        </w:numPr>
      </w:pPr>
      <w:r>
        <w:rPr>
          <w:rStyle w:val="VerbatimChar"/>
        </w:rPr>
        <w:t xml:space="preserve">CK_PauseEvent_ResumePaired</w:t>
      </w:r>
      <w:r>
        <w:t xml:space="preserve"> </w:t>
      </w:r>
      <w:r>
        <w:t xml:space="preserve">—</w:t>
      </w:r>
      <w:r>
        <w:t xml:space="preserve"> </w:t>
      </w:r>
      <w:r>
        <w:rPr>
          <w:rStyle w:val="VerbatimChar"/>
        </w:rPr>
        <w:t xml:space="preserve">(ResumedAt IS NULL AND ResumedByUserId IS NULL) OR (ResumedAt IS NOT NULL AND ResumedByUserId IS NOT NULL)</w:t>
      </w:r>
      <w:r>
        <w:t xml:space="preserve">. Resume timestamp and resumer are paired.</w:t>
      </w:r>
    </w:p>
    <w:p>
      <w:pPr>
        <w:pStyle w:val="Compact"/>
        <w:numPr>
          <w:ilvl w:val="0"/>
          <w:numId w:val="1006"/>
        </w:numPr>
      </w:pPr>
      <w:r>
        <w:rPr>
          <w:rStyle w:val="VerbatimChar"/>
        </w:rPr>
        <w:t xml:space="preserve">UQ_PauseEvent_OpenLotLocation</w:t>
      </w:r>
      <w:r>
        <w:t xml:space="preserve"> </w:t>
      </w:r>
      <w:r>
        <w:t xml:space="preserve">— filtered UNIQUE on</w:t>
      </w:r>
      <w:r>
        <w:t xml:space="preserve"> </w:t>
      </w:r>
      <w:r>
        <w:rPr>
          <w:rStyle w:val="VerbatimChar"/>
        </w:rPr>
        <w:t xml:space="preserve">(LotId, LocationId) WHERE ResumedAt IS NULL</w:t>
      </w:r>
      <w:r>
        <w:t xml:space="preserve">. Blocks duplicate open pauses for the same LOT at the same Cell.</w:t>
      </w:r>
    </w:p>
    <w:p>
      <w:pPr>
        <w:pStyle w:val="FirstParagraph"/>
      </w:pPr>
      <w:r>
        <w:rPr>
          <w:b/>
          <w:bCs/>
        </w:rPr>
        <w:t xml:space="preserve">Indexes:</w:t>
      </w:r>
    </w:p>
    <w:p>
      <w:pPr>
        <w:pStyle w:val="Compact"/>
        <w:numPr>
          <w:ilvl w:val="0"/>
          <w:numId w:val="1007"/>
        </w:numPr>
      </w:pPr>
      <w:r>
        <w:rPr>
          <w:rStyle w:val="VerbatimChar"/>
        </w:rPr>
        <w:t xml:space="preserve">IX_PauseEvent_OpenByLocation</w:t>
      </w:r>
      <w:r>
        <w:t xml:space="preserve"> </w:t>
      </w:r>
      <w:r>
        <w:t xml:space="preserve">on</w:t>
      </w:r>
      <w:r>
        <w:t xml:space="preserve"> </w:t>
      </w:r>
      <w:r>
        <w:rPr>
          <w:rStyle w:val="VerbatimChar"/>
        </w:rPr>
        <w:t xml:space="preserve">(LocationId) WHERE ResumedAt IS NULL</w:t>
      </w:r>
      <w:r>
        <w:t xml:space="preserve"> </w:t>
      </w:r>
      <w:r>
        <w:t xml:space="preserve">— supports the wallboard counter / paused-LOT detail-list lookup.</w:t>
      </w:r>
    </w:p>
    <w:p>
      <w:pPr>
        <w:pStyle w:val="Compact"/>
        <w:numPr>
          <w:ilvl w:val="0"/>
          <w:numId w:val="1007"/>
        </w:numPr>
      </w:pPr>
      <w:r>
        <w:rPr>
          <w:rStyle w:val="VerbatimChar"/>
        </w:rPr>
        <w:t xml:space="preserve">IX_PauseEvent_Lot</w:t>
      </w:r>
      <w:r>
        <w:t xml:space="preserve"> </w:t>
      </w:r>
      <w:r>
        <w:t xml:space="preserve">on</w:t>
      </w:r>
      <w:r>
        <w:t xml:space="preserve"> </w:t>
      </w:r>
      <w:r>
        <w:rPr>
          <w:rStyle w:val="VerbatimChar"/>
        </w:rPr>
        <w:t xml:space="preserve">(LotId, PausedAt DESC)</w:t>
      </w:r>
      <w:r>
        <w:t xml:space="preserve"> </w:t>
      </w:r>
      <w:r>
        <w:t xml:space="preserve">— supports per-LOT pause history (Lot Details view).</w:t>
      </w:r>
    </w:p>
    <w:p>
      <w:pPr>
        <w:pStyle w:val="FirstParagraph"/>
      </w:pPr>
      <w:r>
        <w:rPr>
          <w:b/>
          <w:bCs/>
        </w:rPr>
        <w:t xml:space="preserve">Audit:</w:t>
      </w:r>
      <w:r>
        <w:t xml:space="preserve"> </w:t>
      </w:r>
      <w:r>
        <w:rPr>
          <w:rStyle w:val="VerbatimChar"/>
        </w:rPr>
        <w:t xml:space="preserve">Audit.LogEntityType</w:t>
      </w:r>
      <w:r>
        <w:t xml:space="preserve"> </w:t>
      </w:r>
      <w:r>
        <w:t xml:space="preserve">carries a</w:t>
      </w:r>
      <w:r>
        <w:t xml:space="preserve"> </w:t>
      </w:r>
      <w:r>
        <w:rPr>
          <w:rStyle w:val="VerbatimChar"/>
        </w:rPr>
        <w:t xml:space="preserve">PauseEvent</w:t>
      </w:r>
      <w:r>
        <w:t xml:space="preserve"> </w:t>
      </w:r>
      <w:r>
        <w:t xml:space="preserve">row. Place / Resume operations write to</w:t>
      </w:r>
      <w:r>
        <w:t xml:space="preserve"> </w:t>
      </w:r>
      <w:r>
        <w:rPr>
          <w:rStyle w:val="VerbatimChar"/>
        </w:rPr>
        <w:t xml:space="preserve">Audit.OperationLog</w:t>
      </w:r>
      <w:r>
        <w:t xml:space="preserve">.</w:t>
      </w:r>
    </w:p>
    <w:bookmarkEnd w:id="53"/>
    <w:bookmarkStart w:id="54" w:name="aimshipperidpool"/>
    <w:p>
      <w:pPr>
        <w:pStyle w:val="Heading3"/>
      </w:pPr>
      <w:r>
        <w:t xml:space="preserve">AimShipperIdPool</w:t>
      </w:r>
    </w:p>
    <w:p>
      <w:pPr>
        <w:pStyle w:val="FirstParagraph"/>
      </w:pPr>
      <w:r>
        <w:rPr>
          <w:b/>
          <w:bCs/>
        </w:rPr>
        <w:t xml:space="preserve">Added v1.9h (UJ-04 — AIM Shipper ID local pool).</w:t>
      </w:r>
      <w:r>
        <w:t xml:space="preserve"> </w:t>
      </w:r>
      <w:r>
        <w:t xml:space="preserve">Local buffer of pre-fetched Honda AIM Shipper IDs. A background Gateway script (Arc 2 Phase 7) calls</w:t>
      </w:r>
      <w:r>
        <w:t xml:space="preserve"> </w:t>
      </w:r>
      <w:r>
        <w:rPr>
          <w:rStyle w:val="VerbatimChar"/>
        </w:rPr>
        <w:t xml:space="preserve">AIM.GetNextNumber</w:t>
      </w:r>
      <w:r>
        <w:t xml:space="preserve"> </w:t>
      </w:r>
      <w:r>
        <w:t xml:space="preserve">to keep the pool topped up;</w:t>
      </w:r>
      <w:r>
        <w:t xml:space="preserve"> </w:t>
      </w:r>
      <w:r>
        <w:rPr>
          <w:rStyle w:val="VerbatimChar"/>
        </w:rPr>
        <w:t xml:space="preserve">Container_Complete</w:t>
      </w:r>
      <w:r>
        <w:t xml:space="preserve"> </w:t>
      </w:r>
      <w:r>
        <w:t xml:space="preserve">claims one row FIFO, synchronously, inside its own transaction — sub-millisecond, never blocked on AIM. AIM IDs attach to</w:t>
      </w:r>
      <w:r>
        <w:t xml:space="preserve"> </w:t>
      </w:r>
      <w:r>
        <w:rPr>
          <w:rStyle w:val="VerbatimChar"/>
          <w:b/>
          <w:bCs/>
        </w:rPr>
        <w:t xml:space="preserve">Lots.Container</w:t>
      </w:r>
      <w:r>
        <w:rPr>
          <w:b/>
          <w:bCs/>
        </w:rPr>
        <w:t xml:space="preserve"> </w:t>
      </w:r>
      <w:r>
        <w:rPr>
          <w:b/>
          <w:bCs/>
        </w:rPr>
        <w:t xml:space="preserve">only</w:t>
      </w:r>
      <w:r>
        <w:t xml:space="preserve"> </w:t>
      </w:r>
      <w:r>
        <w:t xml:space="preserve">— never to sub-assemblies, sub-LOTs, or any other entity. Honda treats every issued ID as permanently consumed; once</w:t>
      </w:r>
      <w:r>
        <w:t xml:space="preserve"> </w:t>
      </w:r>
      <w:r>
        <w:rPr>
          <w:rStyle w:val="VerbatimChar"/>
        </w:rPr>
        <w:t xml:space="preserve">ConsumedAt</w:t>
      </w:r>
      <w:r>
        <w:t xml:space="preserve"> </w:t>
      </w:r>
      <w:r>
        <w:t xml:space="preserve">is set the row stays terminal regardless of any downstream container void / re-pack (the new container at re-pack draws a fresh ID from the pool). Honda does not expire IDs — no TTL column.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Honda-issued shipper ID returned by</w:t>
            </w:r>
            <w:r>
              <w:t xml:space="preserve"> </w:t>
            </w:r>
            <w:r>
              <w:rPr>
                <w:rStyle w:val="VerbatimChar"/>
              </w:rPr>
              <w:t xml:space="preserve">AIM.GetNextNumber</w:t>
            </w:r>
            <w:r>
              <w:t xml:space="preserve">. UNIQUE protects against double-INSERT under topup-script retries.</w:t>
            </w:r>
          </w:p>
        </w:tc>
      </w:tr>
      <w:tr>
        <w:tc>
          <w:tcPr/>
          <w:p>
            <w:pPr>
              <w:pStyle w:val="Compact"/>
            </w:pPr>
            <w:r>
              <w:t xml:space="preserve">FetchedAt</w:t>
            </w:r>
          </w:p>
        </w:tc>
        <w:tc>
          <w:tcPr/>
          <w:p>
            <w:pPr>
              <w:pStyle w:val="Compact"/>
            </w:pPr>
            <w:r>
              <w:t xml:space="preserve">DATETIME2(3)</w:t>
            </w:r>
          </w:p>
        </w:tc>
        <w:tc>
          <w:tcPr/>
          <w:p>
            <w:pPr>
              <w:pStyle w:val="Compact"/>
            </w:pPr>
            <w:r>
              <w:t xml:space="preserve">NOT NULL, DEFAULT SYSUTCDATETIME()</w:t>
            </w:r>
          </w:p>
        </w:tc>
        <w:tc>
          <w:tcPr/>
          <w:p>
            <w:pPr>
              <w:pStyle w:val="Compact"/>
            </w:pPr>
            <w:r>
              <w:t xml:space="preserve">When AIM gave this ID to us. Drives FIFO ordering at claim time.</w:t>
            </w:r>
          </w:p>
        </w:tc>
      </w:tr>
      <w:tr>
        <w:tc>
          <w:tcPr>
            <w:shd w:val="clear" w:color="auto" w:fill="F2F2F2"/>
          </w:tcPr>
          <w:tcPr/>
          <w:p>
            <w:pPr>
              <w:pStyle w:val="Compact"/>
            </w:pPr>
            <w:r>
              <w:t xml:space="preserve">FetchedInterfaceLogId</w:t>
            </w:r>
          </w:p>
        </w:tc>
        <w:tc>
          <w:tcPr>
            <w:shd w:val="clear" w:color="auto" w:fill="F2F2F2"/>
          </w:tcPr>
          <w:tcPr/>
          <w:p>
            <w:pPr>
              <w:pStyle w:val="Compact"/>
            </w:pPr>
            <w:r>
              <w:t xml:space="preserve">BIGINT</w:t>
            </w:r>
          </w:p>
        </w:tc>
        <w:tc>
          <w:tcPr>
            <w:shd w:val="clear" w:color="auto" w:fill="F2F2F2"/>
          </w:tcPr>
          <w:tcPr/>
          <w:p>
            <w:pPr>
              <w:pStyle w:val="Compact"/>
            </w:pPr>
            <w:r>
              <w:t xml:space="preserve">FK → Audit.InterfaceLog.Id, NOT NULL</w:t>
            </w:r>
          </w:p>
        </w:tc>
        <w:tc>
          <w:tcPr>
            <w:shd w:val="clear" w:color="auto" w:fill="F2F2F2"/>
          </w:tcPr>
          <w:tcPr/>
          <w:p>
            <w:pPr>
              <w:pStyle w:val="Compact"/>
            </w:pPr>
            <w:r>
              <w:t xml:space="preserve">Provenance — points at the exact AIM call that issued this ID.</w:t>
            </w:r>
          </w:p>
        </w:tc>
      </w:tr>
      <w:tr>
        <w:tc>
          <w:tcPr/>
          <w:p>
            <w:pPr>
              <w:pStyle w:val="Compact"/>
            </w:pPr>
            <w:r>
              <w:t xml:space="preserve">ConsumedAt</w:t>
            </w:r>
          </w:p>
        </w:tc>
        <w:tc>
          <w:tcPr/>
          <w:p>
            <w:pPr>
              <w:pStyle w:val="Compact"/>
            </w:pPr>
            <w:r>
              <w:t xml:space="preserve">DATETIME2(3)</w:t>
            </w:r>
          </w:p>
        </w:tc>
        <w:tc>
          <w:tcPr/>
          <w:p>
            <w:pPr>
              <w:pStyle w:val="Compact"/>
            </w:pPr>
            <w:r>
              <w:t xml:space="preserve">NULL</w:t>
            </w:r>
          </w:p>
        </w:tc>
        <w:tc>
          <w:tcPr/>
          <w:p>
            <w:pPr>
              <w:pStyle w:val="Compact"/>
            </w:pPr>
            <w:r>
              <w:t xml:space="preserve">NULL = available in the pool. Non-NULL = permanently consumed.</w:t>
            </w:r>
          </w:p>
        </w:tc>
      </w:tr>
      <w:tr>
        <w:tc>
          <w:tcPr>
            <w:shd w:val="clear" w:color="auto" w:fill="F2F2F2"/>
          </w:tcPr>
          <w:tcPr/>
          <w:p>
            <w:pPr>
              <w:pStyle w:val="Compact"/>
            </w:pPr>
            <w:r>
              <w:t xml:space="preserve">ConsumedByContainerId</w:t>
            </w:r>
          </w:p>
        </w:tc>
        <w:tc>
          <w:tcPr>
            <w:shd w:val="clear" w:color="auto" w:fill="F2F2F2"/>
          </w:tcPr>
          <w:tcPr/>
          <w:p>
            <w:pPr>
              <w:pStyle w:val="Compact"/>
            </w:pPr>
            <w:r>
              <w:t xml:space="preserve">BIGINT</w:t>
            </w:r>
          </w:p>
        </w:tc>
        <w:tc>
          <w:tcPr>
            <w:shd w:val="clear" w:color="auto" w:fill="F2F2F2"/>
          </w:tcPr>
          <w:tcPr/>
          <w:p>
            <w:pPr>
              <w:pStyle w:val="Compact"/>
            </w:pPr>
            <w:r>
              <w:t xml:space="preserve">FK → Lots.Container.Id, NULL</w:t>
            </w:r>
          </w:p>
        </w:tc>
        <w:tc>
          <w:tcPr>
            <w:shd w:val="clear" w:color="auto" w:fill="F2F2F2"/>
          </w:tcPr>
          <w:tcPr/>
          <w:p>
            <w:pPr>
              <w:pStyle w:val="Compact"/>
            </w:pPr>
            <w:r>
              <w:t xml:space="preserve">The container that claimed this ID. NULL ↔ ConsumedAt NULL.</w:t>
            </w:r>
          </w:p>
        </w:tc>
      </w:tr>
      <w:tr>
        <w:tc>
          <w:tcPr/>
          <w:p>
            <w:pPr>
              <w:pStyle w:val="Compact"/>
            </w:pPr>
            <w:r>
              <w:t xml:space="preserve">ConsumedByUserId</w:t>
            </w:r>
          </w:p>
        </w:tc>
        <w:tc>
          <w:tcPr/>
          <w:p>
            <w:pPr>
              <w:pStyle w:val="Compact"/>
            </w:pPr>
            <w:r>
              <w:t xml:space="preserve">BIGINT</w:t>
            </w:r>
          </w:p>
        </w:tc>
        <w:tc>
          <w:tcPr/>
          <w:p>
            <w:pPr>
              <w:pStyle w:val="Compact"/>
            </w:pPr>
            <w:r>
              <w:t xml:space="preserve">FK → Location.AppUser.Id, NULL</w:t>
            </w:r>
          </w:p>
        </w:tc>
        <w:tc>
          <w:tcPr/>
          <w:p>
            <w:pPr>
              <w:pStyle w:val="Compact"/>
            </w:pPr>
            <w:r>
              <w:t xml:space="preserve">The operator whose closing-container action consumed this ID. NULL ↔ ConsumedAt NULL.</w:t>
            </w:r>
          </w:p>
        </w:tc>
      </w:tr>
    </w:tbl>
    <w:p>
      <w:pPr>
        <w:pStyle w:val="BodyText"/>
      </w:pPr>
      <w:r>
        <w:rPr>
          <w:b/>
          <w:bCs/>
        </w:rPr>
        <w:t xml:space="preserve">Constraints:</w:t>
      </w:r>
    </w:p>
    <w:p>
      <w:pPr>
        <w:pStyle w:val="Compact"/>
        <w:numPr>
          <w:ilvl w:val="0"/>
          <w:numId w:val="1008"/>
        </w:numPr>
      </w:pPr>
      <w:r>
        <w:rPr>
          <w:rStyle w:val="VerbatimChar"/>
        </w:rPr>
        <w:t xml:space="preserve">CK_AimShipperIdPool_ConsumedFieldsPaired</w:t>
      </w:r>
      <w:r>
        <w:t xml:space="preserve"> </w:t>
      </w:r>
      <w:r>
        <w:t xml:space="preserve">—</w:t>
      </w:r>
      <w:r>
        <w:t xml:space="preserve"> </w:t>
      </w:r>
      <w:r>
        <w:rPr>
          <w:rStyle w:val="VerbatimChar"/>
        </w:rPr>
        <w:t xml:space="preserve">(ConsumedAt IS NULL AND ConsumedByContainerId IS NULL AND ConsumedByUserId IS NULL) OR (ConsumedAt IS NOT NULL AND ConsumedByContainerId IS NOT NULL AND ConsumedByUserId IS NOT NULL)</w:t>
      </w:r>
      <w:r>
        <w:t xml:space="preserve">. The three consumption columns are paired; either all NULL (available) or all set (consumed).</w:t>
      </w:r>
    </w:p>
    <w:p>
      <w:pPr>
        <w:pStyle w:val="FirstParagraph"/>
      </w:pPr>
      <w:r>
        <w:rPr>
          <w:b/>
          <w:bCs/>
        </w:rPr>
        <w:t xml:space="preserve">Indexes:</w:t>
      </w:r>
    </w:p>
    <w:p>
      <w:pPr>
        <w:pStyle w:val="Compact"/>
        <w:numPr>
          <w:ilvl w:val="0"/>
          <w:numId w:val="1009"/>
        </w:numPr>
      </w:pPr>
      <w:r>
        <w:rPr>
          <w:rStyle w:val="VerbatimChar"/>
        </w:rPr>
        <w:t xml:space="preserve">IX_AimShipperIdPool_Available (FetchedAt) WHERE ConsumedAt IS NULL</w:t>
      </w:r>
      <w:r>
        <w:t xml:space="preserve"> </w:t>
      </w:r>
      <w:r>
        <w:t xml:space="preserve">— drives the FIFO</w:t>
      </w:r>
      <w:r>
        <w:t xml:space="preserve"> </w:t>
      </w:r>
      <w:r>
        <w:rPr>
          <w:rStyle w:val="VerbatimChar"/>
        </w:rPr>
        <w:t xml:space="preserve">_Claim</w:t>
      </w:r>
      <w:r>
        <w:t xml:space="preserve"> </w:t>
      </w:r>
      <w:r>
        <w:t xml:space="preserve">query (</w:t>
      </w:r>
      <w:r>
        <w:rPr>
          <w:rStyle w:val="VerbatimChar"/>
        </w:rPr>
        <w:t xml:space="preserve">UPDATE TOP (1) WITH (UPDLOCK, READPAST, ROWLOCK)</w:t>
      </w:r>
      <w:r>
        <w:t xml:space="preserve">) and the</w:t>
      </w:r>
      <w:r>
        <w:t xml:space="preserve"> </w:t>
      </w:r>
      <w:r>
        <w:rPr>
          <w:rStyle w:val="VerbatimChar"/>
        </w:rPr>
        <w:t xml:space="preserve">_GetDepth</w:t>
      </w:r>
      <w:r>
        <w:t xml:space="preserve"> </w:t>
      </w:r>
      <w:r>
        <w:t xml:space="preserve">count.</w:t>
      </w:r>
    </w:p>
    <w:p>
      <w:pPr>
        <w:pStyle w:val="Compact"/>
        <w:numPr>
          <w:ilvl w:val="0"/>
          <w:numId w:val="1009"/>
        </w:numPr>
      </w:pPr>
      <w:r>
        <w:rPr>
          <w:rStyle w:val="VerbatimChar"/>
        </w:rPr>
        <w:t xml:space="preserve">IX_AimShipperIdPool_Container ON (ConsumedByContainerId) WHERE ConsumedByContainerId IS NOT NULL</w:t>
      </w:r>
      <w:r>
        <w:t xml:space="preserve"> </w:t>
      </w:r>
      <w:r>
        <w:t xml:space="preserve">— supports</w:t>
      </w:r>
      <w:r>
        <w:t xml:space="preserve"> </w:t>
      </w:r>
      <w:r>
        <w:rPr>
          <w:rStyle w:val="VerbatimChar"/>
        </w:rPr>
        <w:t xml:space="preserve">_GetByContainer</w:t>
      </w:r>
      <w:r>
        <w:t xml:space="preserve"> </w:t>
      </w:r>
      <w:r>
        <w:t xml:space="preserve">traceability.</w:t>
      </w:r>
    </w:p>
    <w:p>
      <w:pPr>
        <w:pStyle w:val="FirstParagraph"/>
      </w:pPr>
      <w:r>
        <w:rPr>
          <w:b/>
          <w:bCs/>
        </w:rPr>
        <w:t xml:space="preserve">Audit:</w:t>
      </w:r>
      <w:r>
        <w:t xml:space="preserve"> </w:t>
      </w:r>
      <w:r>
        <w:rPr>
          <w:rStyle w:val="VerbatimChar"/>
        </w:rPr>
        <w:t xml:space="preserve">Audit.LogEntityType</w:t>
      </w:r>
      <w:r>
        <w:t xml:space="preserve"> </w:t>
      </w:r>
      <w:r>
        <w:t xml:space="preserve">carries an</w:t>
      </w:r>
      <w:r>
        <w:t xml:space="preserve"> </w:t>
      </w:r>
      <w:r>
        <w:rPr>
          <w:rStyle w:val="VerbatimChar"/>
        </w:rPr>
        <w:t xml:space="preserve">AimShipperIdPool</w:t>
      </w:r>
      <w:r>
        <w:t xml:space="preserve"> </w:t>
      </w:r>
      <w:r>
        <w:t xml:space="preserve">row.</w:t>
      </w:r>
      <w:r>
        <w:t xml:space="preserve"> </w:t>
      </w:r>
      <w:r>
        <w:rPr>
          <w:rStyle w:val="VerbatimChar"/>
        </w:rPr>
        <w:t xml:space="preserve">_Claim</w:t>
      </w:r>
      <w:r>
        <w:t xml:space="preserve"> </w:t>
      </w:r>
      <w:r>
        <w:t xml:space="preserve">writes an</w:t>
      </w:r>
      <w:r>
        <w:t xml:space="preserve"> </w:t>
      </w:r>
      <w:r>
        <w:rPr>
          <w:rStyle w:val="VerbatimChar"/>
        </w:rPr>
        <w:t xml:space="preserve">OperationLog</w:t>
      </w:r>
      <w:r>
        <w:t xml:space="preserve"> </w:t>
      </w:r>
      <w:r>
        <w:rPr>
          <w:rStyle w:val="VerbatimChar"/>
        </w:rPr>
        <w:t xml:space="preserve">Consumed</w:t>
      </w:r>
      <w:r>
        <w:t xml:space="preserve"> </w:t>
      </w:r>
      <w:r>
        <w:t xml:space="preserve">row (linked back to the closing container’s audit chain). Each</w:t>
      </w:r>
      <w:r>
        <w:t xml:space="preserve"> </w:t>
      </w:r>
      <w:r>
        <w:rPr>
          <w:rStyle w:val="VerbatimChar"/>
        </w:rPr>
        <w:t xml:space="preserve">_Topup</w:t>
      </w:r>
      <w:r>
        <w:t xml:space="preserve"> </w:t>
      </w:r>
      <w:r>
        <w:t xml:space="preserve">is</w:t>
      </w:r>
      <w:r>
        <w:t xml:space="preserve"> </w:t>
      </w:r>
      <w:r>
        <w:rPr>
          <w:i/>
          <w:iCs/>
        </w:rPr>
        <w:t xml:space="preserve">itself</w:t>
      </w:r>
      <w:r>
        <w:t xml:space="preserve"> </w:t>
      </w:r>
      <w:r>
        <w:t xml:space="preserve">preceded by an</w:t>
      </w:r>
      <w:r>
        <w:t xml:space="preserve"> </w:t>
      </w:r>
      <w:r>
        <w:rPr>
          <w:rStyle w:val="VerbatimChar"/>
        </w:rPr>
        <w:t xml:space="preserve">Audit.InterfaceLog</w:t>
      </w:r>
      <w:r>
        <w:t xml:space="preserve"> </w:t>
      </w:r>
      <w:r>
        <w:t xml:space="preserve">row (the AIM call) —</w:t>
      </w:r>
      <w:r>
        <w:t xml:space="preserve"> </w:t>
      </w:r>
      <w:r>
        <w:rPr>
          <w:rStyle w:val="VerbatimChar"/>
        </w:rPr>
        <w:t xml:space="preserve">FetchedInterfaceLogId</w:t>
      </w:r>
      <w:r>
        <w:t xml:space="preserve"> </w:t>
      </w:r>
      <w:r>
        <w:t xml:space="preserve">carries the FK so provenance is end-to-end queryable.</w:t>
      </w:r>
    </w:p>
    <w:bookmarkEnd w:id="54"/>
    <w:bookmarkStart w:id="55" w:name="aimpoolconfig"/>
    <w:p>
      <w:pPr>
        <w:pStyle w:val="Heading3"/>
      </w:pPr>
      <w:r>
        <w:t xml:space="preserve">AimPoolConfig</w:t>
      </w:r>
    </w:p>
    <w:p>
      <w:pPr>
        <w:pStyle w:val="FirstParagraph"/>
      </w:pPr>
      <w:r>
        <w:rPr>
          <w:b/>
          <w:bCs/>
        </w:rPr>
        <w:t xml:space="preserve">Added v1.9h (UJ-04 — AIM Pool configuration).</w:t>
      </w:r>
      <w:r>
        <w:t xml:space="preserve"> </w:t>
      </w:r>
      <w:r>
        <w:t xml:space="preserve">Single-row table holding the operator-configurable thresholds for the AIM Shipper ID pool. The Configuration Tool exposes these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Single-row enforced via</w:t>
      </w:r>
      <w:r>
        <w:t xml:space="preserve"> </w:t>
      </w:r>
      <w:r>
        <w:rPr>
          <w:rStyle w:val="VerbatimChar"/>
        </w:rPr>
        <w:t xml:space="preserve">CHECK (Id = 1)</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 CHECK (Id = 1)</w:t>
            </w:r>
          </w:p>
        </w:tc>
        <w:tc>
          <w:tcPr/>
          <w:p>
            <w:pPr>
              <w:pStyle w:val="Compact"/>
            </w:pPr>
            <w:r>
              <w:t xml:space="preserve">Always 1. Single-row table.</w:t>
            </w:r>
          </w:p>
        </w:tc>
      </w:tr>
      <w:tr>
        <w:tc>
          <w:tcPr>
            <w:shd w:val="clear" w:color="auto" w:fill="F2F2F2"/>
          </w:tcPr>
          <w:tcPr/>
          <w:p>
            <w:pPr>
              <w:pStyle w:val="Compact"/>
            </w:pPr>
            <w:r>
              <w:t xml:space="preserve">TargetBufferDepth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50, CHECK (TargetBufferDepth &gt; 0)</w:t>
            </w:r>
          </w:p>
        </w:tc>
        <w:tc>
          <w:tcPr>
            <w:shd w:val="clear" w:color="auto" w:fill="F2F2F2"/>
          </w:tcPr>
          <w:tcPr/>
          <w:p>
            <w:pPr>
              <w:pStyle w:val="Compact"/>
            </w:pPr>
            <w:r>
              <w:t xml:space="preserve">The desired pool depth — topup script refills toward this value.</w:t>
            </w:r>
          </w:p>
        </w:tc>
      </w:tr>
      <w:tr>
        <w:tc>
          <w:tcPr/>
          <w:p>
            <w:pPr>
              <w:pStyle w:val="Compact"/>
            </w:pPr>
            <w:r>
              <w:t xml:space="preserve">TopupThreshold</w:t>
            </w:r>
          </w:p>
        </w:tc>
        <w:tc>
          <w:tcPr/>
          <w:p>
            <w:pPr>
              <w:pStyle w:val="Compact"/>
            </w:pPr>
            <w:r>
              <w:t xml:space="preserve">INT</w:t>
            </w:r>
          </w:p>
        </w:tc>
        <w:tc>
          <w:tcPr/>
          <w:p>
            <w:pPr>
              <w:pStyle w:val="Compact"/>
            </w:pPr>
            <w:r>
              <w:t xml:space="preserve">NOT NULL, DEFAULT 30, CHECK (TopupThreshold &gt;= 0 AND TopupThreshold &lt; TargetBufferDepth)</w:t>
            </w:r>
          </w:p>
        </w:tc>
        <w:tc>
          <w:tcPr/>
          <w:p>
            <w:pPr>
              <w:pStyle w:val="Compact"/>
            </w:pPr>
            <w:r>
              <w:t xml:space="preserve">Topup script triggers when</w:t>
            </w:r>
            <w:r>
              <w:t xml:space="preserve"> </w:t>
            </w:r>
            <w:r>
              <w:rPr>
                <w:rStyle w:val="VerbatimChar"/>
              </w:rPr>
              <w:t xml:space="preserve">AvailableCount &lt; TopupThreshold</w:t>
            </w:r>
            <w:r>
              <w:t xml:space="preserve">.</w:t>
            </w:r>
          </w:p>
        </w:tc>
      </w:tr>
      <w:tr>
        <w:tc>
          <w:tcPr>
            <w:shd w:val="clear" w:color="auto" w:fill="F2F2F2"/>
          </w:tcPr>
          <w:tcPr/>
          <w:p>
            <w:pPr>
              <w:pStyle w:val="Compact"/>
            </w:pPr>
            <w:r>
              <w:t xml:space="preserve">AlarmWarningDepth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20, CHECK (AlarmWarningDepth &gt;= 0 AND AlarmWarningDepth &lt; TopupThreshold)</w:t>
            </w:r>
          </w:p>
        </w:tc>
        <w:tc>
          <w:tcPr>
            <w:shd w:val="clear" w:color="auto" w:fill="F2F2F2"/>
          </w:tcPr>
          <w:tcPr/>
          <w:p>
            <w:pPr>
              <w:pStyle w:val="Compact"/>
            </w:pPr>
            <w:r>
              <w:t xml:space="preserve">Supervisor wallboard tile turns yellow when</w:t>
            </w:r>
            <w:r>
              <w:t xml:space="preserve"> </w:t>
            </w:r>
            <w:r>
              <w:rPr>
                <w:rStyle w:val="VerbatimChar"/>
              </w:rPr>
              <w:t xml:space="preserve">AvailableCount &lt; AlarmWarningDepth</w:t>
            </w:r>
            <w:r>
              <w:t xml:space="preserve">.</w:t>
            </w:r>
          </w:p>
        </w:tc>
      </w:tr>
      <w:tr>
        <w:tc>
          <w:tcPr/>
          <w:p>
            <w:pPr>
              <w:pStyle w:val="Compact"/>
            </w:pPr>
            <w:r>
              <w:t xml:space="preserve">AlarmCriticalDepth</w:t>
            </w:r>
          </w:p>
        </w:tc>
        <w:tc>
          <w:tcPr/>
          <w:p>
            <w:pPr>
              <w:pStyle w:val="Compact"/>
            </w:pPr>
            <w:r>
              <w:t xml:space="preserve">INT</w:t>
            </w:r>
          </w:p>
        </w:tc>
        <w:tc>
          <w:tcPr/>
          <w:p>
            <w:pPr>
              <w:pStyle w:val="Compact"/>
            </w:pPr>
            <w:r>
              <w:t xml:space="preserve">NOT NULL, DEFAULT 10, CHECK (AlarmCriticalDepth &gt;= 0 AND AlarmCriticalDepth &lt; AlarmWarningDepth)</w:t>
            </w:r>
          </w:p>
        </w:tc>
        <w:tc>
          <w:tcPr/>
          <w:p>
            <w:pPr>
              <w:pStyle w:val="Compact"/>
            </w:pPr>
            <w:r>
              <w:t xml:space="preserve">Supervisor alarm + IT notification fires when</w:t>
            </w:r>
            <w:r>
              <w:t xml:space="preserve"> </w:t>
            </w:r>
            <w:r>
              <w:rPr>
                <w:rStyle w:val="VerbatimChar"/>
              </w:rPr>
              <w:t xml:space="preserve">AvailableCount &lt; AlarmCriticalDepth</w:t>
            </w:r>
            <w:r>
              <w:t xml:space="preserve">.</w:t>
            </w: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Location.AppUser.Id, NULL</w:t>
            </w:r>
          </w:p>
        </w:tc>
        <w:tc>
          <w:tcPr/>
          <w:p>
            <w:pPr>
              <w:pStyle w:val="Compact"/>
            </w:pPr>
          </w:p>
        </w:tc>
      </w:tr>
    </w:tbl>
    <w:p>
      <w:pPr>
        <w:pStyle w:val="BodyText"/>
      </w:pPr>
      <w:r>
        <w:rPr>
          <w:b/>
          <w:bCs/>
        </w:rPr>
        <w:t xml:space="preserve">Seed (at Arc 2 Phase 7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TargetBufferDepth</w:t>
            </w:r>
          </w:p>
        </w:tc>
        <w:tc>
          <w:tcPr>
            <w:shd w:val="clear" w:color="auto" w:fill="1F4E79"/>
          </w:tcPr>
          <w:tcPr/>
          <w:p>
            <w:pPr>
              <w:pStyle w:val="Compact"/>
            </w:pPr>
            <w:r>
              <w:rPr>
                <w:b/>
                <w:color w:val="FFFFFF"/>
              </w:rPr>
              <w:t xml:space="preserve">TopupThreshold</w:t>
            </w:r>
          </w:p>
        </w:tc>
        <w:tc>
          <w:tcPr>
            <w:shd w:val="clear" w:color="auto" w:fill="1F4E79"/>
          </w:tcPr>
          <w:tcPr/>
          <w:p>
            <w:pPr>
              <w:pStyle w:val="Compact"/>
            </w:pPr>
            <w:r>
              <w:rPr>
                <w:b/>
                <w:color w:val="FFFFFF"/>
              </w:rPr>
              <w:t xml:space="preserve">AlarmWarningDepth</w:t>
            </w:r>
          </w:p>
        </w:tc>
        <w:tc>
          <w:tcPr>
            <w:shd w:val="clear" w:color="auto" w:fill="1F4E79"/>
          </w:tcPr>
          <w:tcPr/>
          <w:p>
            <w:pPr>
              <w:pStyle w:val="Compact"/>
            </w:pPr>
            <w:r>
              <w:rPr>
                <w:b/>
                <w:color w:val="FFFFFF"/>
              </w:rPr>
              <w:t xml:space="preserve">AlarmCriticalDepth</w:t>
            </w:r>
          </w:p>
        </w:tc>
      </w:tr>
      <w:tr>
        <w:tc>
          <w:tcPr/>
          <w:p>
            <w:pPr>
              <w:pStyle w:val="Compact"/>
            </w:pPr>
            <w:r>
              <w:t xml:space="preserve">1</w:t>
            </w:r>
          </w:p>
        </w:tc>
        <w:tc>
          <w:tcPr/>
          <w:p>
            <w:pPr>
              <w:pStyle w:val="Compact"/>
            </w:pPr>
            <w:r>
              <w:t xml:space="preserve">50</w:t>
            </w:r>
          </w:p>
        </w:tc>
        <w:tc>
          <w:tcPr/>
          <w:p>
            <w:pPr>
              <w:pStyle w:val="Compact"/>
            </w:pPr>
            <w:r>
              <w:t xml:space="preserve">30</w:t>
            </w:r>
          </w:p>
        </w:tc>
        <w:tc>
          <w:tcPr/>
          <w:p>
            <w:pPr>
              <w:pStyle w:val="Compact"/>
            </w:pPr>
            <w:r>
              <w:t xml:space="preserve">20</w:t>
            </w:r>
          </w:p>
        </w:tc>
        <w:tc>
          <w:tcPr/>
          <w:p>
            <w:pPr>
              <w:pStyle w:val="Compact"/>
            </w:pPr>
            <w:r>
              <w:t xml:space="preserve">10</w:t>
            </w:r>
          </w:p>
        </w:tc>
      </w:tr>
    </w:tbl>
    <w:p>
      <w:pPr>
        <w:pStyle w:val="BodyText"/>
      </w:pPr>
      <w:r>
        <w:rPr>
          <w:b/>
          <w:bCs/>
        </w:rPr>
        <w:t xml:space="preserve">Audit:</w:t>
      </w:r>
      <w:r>
        <w:t xml:space="preserve"> </w:t>
      </w:r>
      <w:r>
        <w:rPr>
          <w:rStyle w:val="VerbatimChar"/>
        </w:rPr>
        <w:t xml:space="preserve">Audit.LogEntityType</w:t>
      </w:r>
      <w:r>
        <w:t xml:space="preserve"> </w:t>
      </w:r>
      <w:r>
        <w:t xml:space="preserve">carries an</w:t>
      </w:r>
      <w:r>
        <w:t xml:space="preserve"> </w:t>
      </w:r>
      <w:r>
        <w:rPr>
          <w:rStyle w:val="VerbatimChar"/>
        </w:rPr>
        <w:t xml:space="preserve">AimPoolConfig</w:t>
      </w:r>
      <w:r>
        <w:t xml:space="preserve"> </w:t>
      </w:r>
      <w:r>
        <w:t xml:space="preserve">row.</w:t>
      </w:r>
      <w:r>
        <w:t xml:space="preserve"> </w:t>
      </w:r>
      <w:r>
        <w:rPr>
          <w:rStyle w:val="VerbatimChar"/>
        </w:rPr>
        <w:t xml:space="preserve">_Update</w:t>
      </w:r>
      <w:r>
        <w:t xml:space="preserve"> </w:t>
      </w:r>
      <w:r>
        <w:t xml:space="preserve">writes a</w:t>
      </w:r>
      <w:r>
        <w:t xml:space="preserve"> </w:t>
      </w:r>
      <w:r>
        <w:rPr>
          <w:rStyle w:val="VerbatimChar"/>
        </w:rPr>
        <w:t xml:space="preserve">ConfigLog</w:t>
      </w:r>
      <w:r>
        <w:t xml:space="preserve"> </w:t>
      </w:r>
      <w:r>
        <w:t xml:space="preserve">row.</w:t>
      </w:r>
    </w:p>
    <w:p>
      <w:r>
        <w:pict>
          <v:rect style="width:0;height:1.5pt" o:hralign="center" o:hrstd="t" o:hr="t"/>
        </w:pict>
      </w:r>
    </w:p>
    <w:bookmarkEnd w:id="55"/>
    <w:bookmarkEnd w:id="56"/>
    <w:bookmarkStart w:id="67"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Demand (planned PM) and Maintenance (emergency) WO flows —</w:t>
      </w:r>
      <w:r>
        <w:t xml:space="preserve"> </w:t>
      </w:r>
      <w:r>
        <w:rPr>
          <w:b/>
          <w:bCs/>
        </w:rPr>
        <w:t xml:space="preserve">FUTURE</w:t>
      </w:r>
      <w:r>
        <w:t xml:space="preserve"> </w:t>
      </w:r>
      <w:r>
        <w:t xml:space="preserve">(separate project scope; this system only provides the code-table hook via</w:t>
      </w:r>
      <w:r>
        <w:t xml:space="preserve"> </w:t>
      </w:r>
      <w:r>
        <w:rPr>
          <w:rStyle w:val="VerbatimChar"/>
        </w:rPr>
        <w:t xml:space="preserve">WorkOrderType</w:t>
      </w:r>
      <w:r>
        <w:t xml:space="preserve"> </w:t>
      </w:r>
      <w:r>
        <w:t xml:space="preserve">and the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(2026-04-24 correction of 2026-04-20):</w:t>
      </w:r>
      <w:r>
        <w:t xml:space="preserve"> </w:t>
      </w:r>
      <w:r>
        <w:t xml:space="preserve">MVP ships with</w:t>
      </w:r>
      <w:r>
        <w:t xml:space="preserve"> </w:t>
      </w:r>
      <w:r>
        <w:rPr>
          <w:b/>
          <w:bCs/>
        </w:rPr>
        <w:t xml:space="preserve">one</w:t>
      </w:r>
      <w:r>
        <w:t xml:space="preserve"> </w:t>
      </w:r>
      <w:r>
        <w:t xml:space="preserve">active WO type —</w:t>
      </w:r>
      <w:r>
        <w:t xml:space="preserve"> </w:t>
      </w:r>
      <w:r>
        <w:rPr>
          <w:rStyle w:val="VerbatimChar"/>
        </w:rPr>
        <w:t xml:space="preserve">Production</w:t>
      </w:r>
      <w:r>
        <w:t xml:space="preserve"> </w:t>
      </w:r>
      <w:r>
        <w:t xml:space="preserve">— preserving the pre-existing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 separate Recipe concept exists.</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are genuinely separate future WO types under MPP’s taxonomy — they are NOT built in this project; the</w:t>
      </w:r>
      <w:r>
        <w:t xml:space="preserve"> </w:t>
      </w:r>
      <w:r>
        <w:rPr>
          <w:rStyle w:val="VerbatimChar"/>
        </w:rPr>
        <w:t xml:space="preserve">WorkOrderType</w:t>
      </w:r>
      <w:r>
        <w:t xml:space="preserve"> </w:t>
      </w:r>
      <w:r>
        <w:t xml:space="preserve">code table exists as a future hook so new rows can be INSERTed without schema change when MPP scopes the maintenance engine. Operators never see or interact with any WO in MVP.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57"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7"/>
    <w:bookmarkStart w:id="58"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58"/>
    <w:bookmarkStart w:id="59"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9"/>
    <w:bookmarkStart w:id="60" w:name="workordertype"/>
    <w:p>
      <w:pPr>
        <w:pStyle w:val="Heading3"/>
      </w:pPr>
      <w:r>
        <w:t xml:space="preserve">WorkOrderType</w:t>
      </w:r>
    </w:p>
    <w:p>
      <w:pPr>
        <w:pStyle w:val="FirstParagraph"/>
      </w:pPr>
      <w:r>
        <w:t xml:space="preserve">Read-only code table. Added in v1.7 (Phase B); seed corrected in v1.9b (2026-04-24) per OI-07. Serves as a</w:t>
      </w:r>
      <w:r>
        <w:t xml:space="preserve"> </w:t>
      </w:r>
      <w:r>
        <w:rPr>
          <w:b/>
          <w:bCs/>
        </w:rPr>
        <w:t xml:space="preserve">future hook</w:t>
      </w:r>
      <w:r>
        <w:t xml:space="preserve"> </w:t>
      </w:r>
      <w:r>
        <w:t xml:space="preserve">— new WO type rows can be INSERTed without schema change when MPP scopes separate Demand (planned PM) and Maintenance (emergency) engines.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Production</w:t>
            </w:r>
            <w:r>
              <w:t xml:space="preserve"> </w:t>
            </w:r>
            <w:r>
              <w:t xml:space="preserve">(the only active code in MVP)</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(authoritative — Arc 2 Phase 1 migration or follow-up correction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Production</w:t>
            </w:r>
          </w:p>
        </w:tc>
        <w:tc>
          <w:tcPr/>
          <w:p>
            <w:pPr>
              <w:pStyle w:val="Compact"/>
            </w:pPr>
            <w:r>
              <w:t xml:space="preserve">Production Work Order</w:t>
            </w:r>
          </w:p>
        </w:tc>
        <w:tc>
          <w:tcPr/>
          <w:p>
            <w:pPr>
              <w:pStyle w:val="Compact"/>
            </w:pPr>
            <w:r>
              <w:t xml:space="preserve">MVP-LITE — auto-generated on LOT start, invisible to operators, no WO screens. Retains the v1.7 bookkeeping behaviour.</w:t>
            </w:r>
          </w:p>
        </w:tc>
      </w:tr>
    </w:tbl>
    <w:p>
      <w:pPr>
        <w:pStyle w:val="BodyText"/>
      </w:pPr>
      <w:r>
        <w:rPr>
          <w:b/>
          <w:bCs/>
        </w:rPr>
        <w:t xml:space="preserve">FUTURE — not seeded in this project</w:t>
      </w:r>
      <w:r>
        <w:t xml:space="preserve"> </w:t>
      </w:r>
      <w:r>
        <w:t xml:space="preserve">(MPP can INSERT these rows when scoping the maintenance engine):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r>
      <w:tr>
        <w:tc>
          <w:tcPr/>
          <w:p>
            <w:pPr>
              <w:pStyle w:val="Compact"/>
            </w:pPr>
            <w:r>
              <w:t xml:space="preserve">Demand</w:t>
            </w:r>
          </w:p>
        </w:tc>
        <w:tc>
          <w:tcPr/>
          <w:p>
            <w:pPr>
              <w:pStyle w:val="Compact"/>
            </w:pPr>
            <w:r>
              <w:t xml:space="preserve">Planned preventative maintenance.</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r>
    </w:tbl>
    <w:p>
      <w:pPr>
        <w:pStyle w:val="BlockText"/>
      </w:pPr>
      <w:r>
        <w:rPr>
          <w:b/>
          <w:bCs/>
        </w:rPr>
        <w:t xml:space="preserve">SQL correction landed:</w:t>
      </w:r>
      <w:r>
        <w:t xml:space="preserve"> </w:t>
      </w:r>
      <w:r>
        <w:t xml:space="preserve">Migration</w:t>
      </w:r>
      <w:r>
        <w:t xml:space="preserve"> </w:t>
      </w:r>
      <w:r>
        <w:rPr>
          <w:rStyle w:val="VerbatimChar"/>
        </w:rPr>
        <w:t xml:space="preserve">0013_oi07_oi12_corrections.sql</w:t>
      </w:r>
      <w:r>
        <w:t xml:space="preserve"> </w:t>
      </w:r>
      <w:r>
        <w:t xml:space="preserve">(2026-04-28) collapsed the seed to a single</w:t>
      </w:r>
      <w:r>
        <w:t xml:space="preserve"> </w:t>
      </w:r>
      <w:r>
        <w:rPr>
          <w:rStyle w:val="VerbatimChar"/>
        </w:rPr>
        <w:t xml:space="preserve">Production</w:t>
      </w:r>
      <w:r>
        <w:t xml:space="preserve"> </w:t>
      </w:r>
      <w:r>
        <w:t xml:space="preserve">row and updated</w:t>
      </w:r>
      <w:r>
        <w:t xml:space="preserve"> </w:t>
      </w:r>
      <w:r>
        <w:rPr>
          <w:rStyle w:val="VerbatimChar"/>
        </w:rPr>
        <w:t xml:space="preserve">sql/tests/0019_Parts_ConsumptionMetadata_And_ScrapSource/010_Phase_E_additives.sql</w:t>
      </w:r>
      <w:r>
        <w:t xml:space="preserve"> </w:t>
      </w:r>
      <w:r>
        <w:t xml:space="preserve">accordingly. 858/858 tests passing.</w:t>
      </w:r>
    </w:p>
    <w:bookmarkEnd w:id="60"/>
    <w:bookmarkStart w:id="61" w:name="workorder"/>
    <w:p>
      <w:pPr>
        <w:pStyle w:val="Heading3"/>
      </w:pPr>
      <w:r>
        <w:t xml:space="preserve">WorkOrder</w:t>
      </w:r>
    </w:p>
    <w:p>
      <w:pPr>
        <w:pStyle w:val="FirstParagraph"/>
      </w:pPr>
      <w:r>
        <w:t xml:space="preserve">Auto-generated internal work order. Operators never see this. The table carries</w:t>
      </w:r>
      <w:r>
        <w:t xml:space="preserve"> </w:t>
      </w:r>
      <w:r>
        <w:rPr>
          <w:rStyle w:val="VerbatimChar"/>
        </w:rPr>
        <w:t xml:space="preserve">WorkOrderTypeId</w:t>
      </w:r>
      <w:r>
        <w:t xml:space="preserve"> </w:t>
      </w:r>
      <w:r>
        <w:t xml:space="preserve">(discriminator FK →</w:t>
      </w:r>
      <w:r>
        <w:t xml:space="preserve"> </w:t>
      </w:r>
      <w:r>
        <w:rPr>
          <w:rStyle w:val="VerbatimChar"/>
        </w:rPr>
        <w:t xml:space="preserve">WorkOrderType</w:t>
      </w:r>
      <w:r>
        <w:t xml:space="preserve">, defaults to the single-seeded</w:t>
      </w:r>
      <w:r>
        <w:t xml:space="preserve"> </w:t>
      </w:r>
      <w:r>
        <w:rPr>
          <w:rStyle w:val="VerbatimChar"/>
        </w:rPr>
        <w:t xml:space="preserve">Production</w:t>
      </w:r>
      <w:r>
        <w:t xml:space="preserve"> </w:t>
      </w:r>
      <w:r>
        <w:t xml:space="preserve">row) and</w:t>
      </w:r>
      <w:r>
        <w:t xml:space="preserve"> </w:t>
      </w:r>
      <w:r>
        <w:rPr>
          <w:rStyle w:val="VerbatimChar"/>
        </w:rPr>
        <w:t xml:space="preserve">ToolId</w:t>
      </w:r>
      <w:r>
        <w:t xml:space="preserve"> </w:t>
      </w:r>
      <w:r>
        <w:t xml:space="preserve">(nullable FK →</w:t>
      </w:r>
      <w:r>
        <w:t xml:space="preserve"> </w:t>
      </w:r>
      <w:r>
        <w:rPr>
          <w:rStyle w:val="VerbatimChar"/>
        </w:rPr>
        <w:t xml:space="preserve">Tools.Tool</w:t>
      </w:r>
      <w:r>
        <w:t xml:space="preserve">, schema hook for FUTURE Maintenance WOs — unpopulated in MVP).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w:t>
            </w:r>
            <w:r>
              <w:t xml:space="preserve"> </w:t>
            </w:r>
            <w:r>
              <w:rPr>
                <w:b/>
                <w:bCs/>
              </w:rPr>
              <w:t xml:space="preserve">v1.9b (2026-04-24):</w:t>
            </w:r>
            <w:r>
              <w:t xml:space="preserve"> </w:t>
            </w:r>
            <w:r>
              <w:t xml:space="preserve">defaults to</w:t>
            </w:r>
            <w:r>
              <w:t xml:space="preserve"> </w:t>
            </w:r>
            <w:r>
              <w:rPr>
                <w:rStyle w:val="VerbatimChar"/>
              </w:rPr>
              <w:t xml:space="preserve">Production</w:t>
            </w:r>
            <w:r>
              <w:t xml:space="preserve"> </w:t>
            </w:r>
            <w:r>
              <w:t xml:space="preserve">(the corrected single-seed row). FUTURE Demand / Maintenance rows are added without schema change.</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as a schema hook for</w:t>
            </w:r>
            <w:r>
              <w:t xml:space="preserve"> </w:t>
            </w:r>
            <w:r>
              <w:rPr>
                <w:b/>
                <w:bCs/>
              </w:rPr>
              <w:t xml:space="preserve">FUTURE</w:t>
            </w:r>
            <w:r>
              <w:t xml:space="preserve"> </w:t>
            </w:r>
            <w:r>
              <w:t xml:space="preserve">Maintenance WOs (targets a specific Tool). Not populated in MVP. Enforced at the proc layer when Maintenance flow activates.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61"/>
    <w:bookmarkStart w:id="62"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AppUserId</w:t>
            </w:r>
          </w:p>
        </w:tc>
        <w:tc>
          <w:tcPr/>
          <w:p>
            <w:pPr>
              <w:pStyle w:val="Compact"/>
            </w:pPr>
            <w:r>
              <w:t xml:space="preserve">BIGINT</w:t>
            </w:r>
          </w:p>
        </w:tc>
        <w:tc>
          <w:tcPr/>
          <w:p>
            <w:pPr>
              <w:pStyle w:val="Compact"/>
            </w:pPr>
            <w:r>
              <w:t xml:space="preserve">FK → AppUser.Id, NULL</w:t>
            </w:r>
          </w:p>
        </w:tc>
        <w:tc>
          <w:tcPr/>
          <w:p>
            <w:pPr>
              <w:pStyle w:val="Compact"/>
            </w:pPr>
            <w:r>
              <w:t xml:space="preserve">Operator who ran the operation</w:t>
            </w:r>
          </w:p>
        </w:tc>
      </w:tr>
    </w:tbl>
    <w:bookmarkEnd w:id="62"/>
    <w:bookmarkStart w:id="63" w:name="productionevent"/>
    <w:p>
      <w:pPr>
        <w:pStyle w:val="Heading3"/>
      </w:pPr>
      <w:r>
        <w:t xml:space="preserve">ProductionEvent</w:t>
      </w:r>
    </w:p>
    <w:p>
      <w:pPr>
        <w:pStyle w:val="FirstParagraph"/>
      </w:pPr>
      <w:r>
        <w:rPr>
          <w:b/>
          <w:bCs/>
        </w:rPr>
        <w:t xml:space="preserve">Checkpoint-shape event table.</w:t>
      </w:r>
      <w:r>
        <w:t xml:space="preserve"> </w:t>
      </w:r>
      <w:r>
        <w:t xml:space="preserve">Per FRS §2.1.2 operator-driven capture: operators are not at the terminal for every shot — they log at checkpoints (checkout from die cast, check-in to trim, complete + move, quality-operation transitions). Each checkpoint fires one row carrying the</w:t>
      </w:r>
      <w:r>
        <w:t xml:space="preserve"> </w:t>
      </w:r>
      <w:r>
        <w:rPr>
          <w:b/>
          <w:bCs/>
        </w:rPr>
        <w:t xml:space="preserve">cumulative</w:t>
      </w:r>
      <w:r>
        <w:t xml:space="preserve"> </w:t>
      </w:r>
      <w:r>
        <w:t xml:space="preserve">counters as-of-that-moment;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A missed event doesn’t compound errors — the next event carries truth.</w:t>
      </w:r>
    </w:p>
    <w:p>
      <w:pPr>
        <w:pStyle w:val="BodyText"/>
      </w:pPr>
      <w:r>
        <w:rPr>
          <w:b/>
          <w:bCs/>
        </w:rPr>
        <w:t xml:space="preserve">What’s deliberately NOT on this table:</w:t>
      </w:r>
      <w:r>
        <w:t xml:space="preserve"> </w:t>
      </w:r>
      <w:r>
        <w:t xml:space="preserve">-</w:t>
      </w:r>
      <w:r>
        <w:t xml:space="preserve"> </w:t>
      </w:r>
      <w:r>
        <w:rPr>
          <w:b/>
          <w:bCs/>
        </w:rPr>
        <w:t xml:space="preserve">No</w:t>
      </w:r>
      <w:r>
        <w:rPr>
          <w:b/>
          <w:bCs/>
        </w:rPr>
        <w:t xml:space="preserve"> </w:t>
      </w:r>
      <w:r>
        <w:rPr>
          <w:rStyle w:val="VerbatimChar"/>
          <w:b/>
          <w:bCs/>
        </w:rPr>
        <w:t xml:space="preserve">LocationId</w:t>
      </w:r>
      <w:r>
        <w:t xml:space="preserve"> </w:t>
      </w:r>
      <w:r>
        <w:t xml:space="preserve">—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Redundant.</w:t>
      </w:r>
      <w:r>
        <w:t xml:space="preserve"> </w:t>
      </w:r>
      <w:r>
        <w:t xml:space="preserve">-</w:t>
      </w:r>
      <w:r>
        <w:t xml:space="preserve"> </w:t>
      </w:r>
      <w:r>
        <w:rPr>
          <w:b/>
          <w:bCs/>
        </w:rPr>
        <w:t xml:space="preserve">No</w:t>
      </w:r>
      <w:r>
        <w:rPr>
          <w:b/>
          <w:bCs/>
        </w:rPr>
        <w:t xml:space="preserve"> </w:t>
      </w:r>
      <w:r>
        <w:rPr>
          <w:rStyle w:val="VerbatimChar"/>
          <w:b/>
          <w:bCs/>
        </w:rPr>
        <w:t xml:space="preserve">ItemId</w:t>
      </w:r>
      <w:r>
        <w:t xml:space="preserve"> </w:t>
      </w:r>
      <w:r>
        <w:t xml:space="preserve">— derivable from</w:t>
      </w:r>
      <w:r>
        <w:t xml:space="preserve"> </w:t>
      </w:r>
      <w:r>
        <w:rPr>
          <w:rStyle w:val="VerbatimChar"/>
        </w:rPr>
        <w:t xml:space="preserve">Lot.ItemId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DieIdentifier</w:t>
      </w:r>
      <w:r>
        <w:rPr>
          <w:b/>
          <w:bCs/>
        </w:rPr>
        <w:t xml:space="preserve"> </w:t>
      </w:r>
      <w:r>
        <w:rPr>
          <w:b/>
          <w:bCs/>
        </w:rPr>
        <w:t xml:space="preserve">/</w:t>
      </w:r>
      <w:r>
        <w:rPr>
          <w:b/>
          <w:bCs/>
        </w:rPr>
        <w:t xml:space="preserve"> </w:t>
      </w:r>
      <w:r>
        <w:rPr>
          <w:rStyle w:val="VerbatimChar"/>
          <w:b/>
          <w:bCs/>
        </w:rPr>
        <w:t xml:space="preserve">CavityNumber</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are system of record; ProductionEvent does not carry.</w:t>
      </w:r>
      <w:r>
        <w:t xml:space="preserve"> </w:t>
      </w:r>
      <w:r>
        <w:t xml:space="preserve">-</w:t>
      </w:r>
      <w:r>
        <w:t xml:space="preserve"> </w:t>
      </w:r>
      <w:r>
        <w:rPr>
          <w:b/>
          <w:bCs/>
        </w:rPr>
        <w:t xml:space="preserve">No</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 derived via</w:t>
      </w:r>
      <w:r>
        <w:t xml:space="preserve"> </w:t>
      </w:r>
      <w:r>
        <w:rPr>
          <w:rStyle w:val="VerbatimChar"/>
        </w:rPr>
        <w:t xml:space="preserve">ProductionEvent.LotId → Lot.ToolId / Lot.ToolCavityId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StartedAt</w:t>
      </w:r>
      <w:r>
        <w:rPr>
          <w:b/>
          <w:bCs/>
        </w:rPr>
        <w:t xml:space="preserve"> </w:t>
      </w:r>
      <w:r>
        <w:rPr>
          <w:b/>
          <w:bCs/>
        </w:rPr>
        <w:t xml:space="preserve">/</w:t>
      </w:r>
      <w:r>
        <w:rPr>
          <w:b/>
          <w:bCs/>
        </w:rPr>
        <w:t xml:space="preserve"> </w:t>
      </w:r>
      <w:r>
        <w:rPr>
          <w:rStyle w:val="VerbatimChar"/>
          <w:b/>
          <w:bCs/>
        </w:rPr>
        <w:t xml:space="preserve">EndedAt</w:t>
      </w:r>
      <w:r>
        <w:t xml:space="preserve"> </w:t>
      </w:r>
      <w:r>
        <w:t xml:space="preserve">— the</w:t>
      </w:r>
      <w:r>
        <w:t xml:space="preserve"> </w:t>
      </w:r>
      <w:r>
        <w:t xml:space="preserve">“start”</w:t>
      </w:r>
      <w:r>
        <w:t xml:space="preserve"> </w:t>
      </w:r>
      <w:r>
        <w:t xml:space="preserve">of any event’s interval is the previous event for the same LOT (derived via</w:t>
      </w:r>
      <w:r>
        <w:t xml:space="preserve"> </w:t>
      </w:r>
      <w:r>
        <w:rPr>
          <w:rStyle w:val="VerbatimChar"/>
        </w:rPr>
        <w:t xml:space="preserve">LAG()</w:t>
      </w:r>
      <w:r>
        <w:t xml:space="preserve">). Avoids dangling</w:t>
      </w:r>
      <w:r>
        <w:t xml:space="preserve"> </w:t>
      </w:r>
      <w:r>
        <w:t xml:space="preserve">“started-but-not-ended”</w:t>
      </w:r>
      <w:r>
        <w:t xml:space="preserve"> </w:t>
      </w:r>
      <w:r>
        <w:t xml:space="preserve">rows entirely.</w:t>
      </w:r>
      <w:r>
        <w:t xml:space="preserve"> </w:t>
      </w:r>
      <w:r>
        <w:t xml:space="preserve">-</w:t>
      </w:r>
      <w:r>
        <w:t xml:space="preserve"> </w:t>
      </w:r>
      <w:r>
        <w:rPr>
          <w:b/>
          <w:bCs/>
        </w:rPr>
        <w:t xml:space="preserve">No</w:t>
      </w:r>
      <w:r>
        <w:rPr>
          <w:b/>
          <w:bCs/>
        </w:rPr>
        <w:t xml:space="preserve"> </w:t>
      </w:r>
      <w:r>
        <w:rPr>
          <w:rStyle w:val="VerbatimChar"/>
          <w:b/>
          <w:bCs/>
        </w:rPr>
        <w:t xml:space="preserve">GoodCount</w:t>
      </w:r>
      <w:r>
        <w:rPr>
          <w:b/>
          <w:bCs/>
        </w:rPr>
        <w:t xml:space="preserve"> </w:t>
      </w:r>
      <w:r>
        <w:rPr>
          <w:b/>
          <w:bCs/>
        </w:rPr>
        <w:t xml:space="preserve">/</w:t>
      </w:r>
      <w:r>
        <w:rPr>
          <w:b/>
          <w:bCs/>
        </w:rPr>
        <w:t xml:space="preserve"> </w:t>
      </w:r>
      <w:r>
        <w:rPr>
          <w:rStyle w:val="VerbatimChar"/>
          <w:b/>
          <w:bCs/>
        </w:rPr>
        <w:t xml:space="preserve">NoGoodCount</w:t>
      </w:r>
      <w:r>
        <w:t xml:space="preserve"> </w:t>
      </w:r>
      <w:r>
        <w:t xml:space="preserve">per-event — replaced by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with</w:t>
      </w:r>
      <w:r>
        <w:t xml:space="preserve"> </w:t>
      </w:r>
      <w:r>
        <w:rPr>
          <w:rStyle w:val="VerbatimChar"/>
        </w:rPr>
        <w:t xml:space="preserve">LAG()</w:t>
      </w:r>
      <w:r>
        <w:t xml:space="preserve">-derived deltas.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Tool + Cavity derived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w:t>
            </w: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Captures the FDS-03-017a data-collection contract — what fields were required at this checkpoint. Direct FK so events remain queryable when work orders are absent (OI-07 background-only WOs).</w:t>
            </w: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Workorder.WorkOrderOperation.Id, NULL</w:t>
            </w:r>
          </w:p>
        </w:tc>
        <w:tc>
          <w:tcPr>
            <w:shd w:val="clear" w:color="auto" w:fill="F2F2F2"/>
          </w:tcPr>
          <w:tcPr/>
          <w:p>
            <w:pPr>
              <w:pStyle w:val="Compact"/>
            </w:pPr>
            <w:r>
              <w:t xml:space="preserve">Nullable (MVP-LITE WO model).</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r>
              <w:t xml:space="preserve">Checkpoint timestamp. Used with</w:t>
            </w:r>
            <w:r>
              <w:t xml:space="preserve"> </w:t>
            </w:r>
            <w:r>
              <w:rPr>
                <w:rStyle w:val="VerbatimChar"/>
              </w:rPr>
              <w:t xml:space="preserve">LAG()</w:t>
            </w:r>
            <w:r>
              <w:t xml:space="preserve"> </w:t>
            </w:r>
            <w:r>
              <w:t xml:space="preserve">for delta derivation.</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Cumulative</w:t>
            </w:r>
            <w:r>
              <w:t xml:space="preserve"> </w:t>
            </w:r>
            <w:r>
              <w:t xml:space="preserve">shot counter at event time. Reader derives</w:t>
            </w:r>
            <w:r>
              <w:t xml:space="preserve"> </w:t>
            </w:r>
            <w:r>
              <w:rPr>
                <w:rStyle w:val="VerbatimChar"/>
              </w:rPr>
              <w:t xml:space="preserve">ShotsSinceLast = ShotCount - LAG(ShotCount) OVER (PARTITION BY LotId ORDER BY EventAt)</w:t>
            </w:r>
            <w:r>
              <w:t xml:space="preserve">.</w:t>
            </w:r>
            <w:r>
              <w:t xml:space="preserve"> </w:t>
            </w:r>
            <w:r>
              <w:rPr>
                <w:b/>
                <w:bCs/>
              </w:rPr>
              <w:t xml:space="preserve">Open item</w:t>
            </w:r>
            <w:r>
              <w:t xml:space="preserve"> </w:t>
            </w:r>
            <w:r>
              <w:t xml:space="preserve">(per Decision 5 of the 2026-04-23 spec): may migrate to derived-from-aggregated-LOT-quantity before Arc 2 Phase 3 if the LOT-quantity aggregation proves authoritative for</w:t>
            </w:r>
            <w:r>
              <w:t xml:space="preserve"> </w:t>
            </w:r>
            <w:r>
              <w:t xml:space="preserve">“shots per die”</w:t>
            </w:r>
            <w:r>
              <w:t xml:space="preserve"> </w:t>
            </w:r>
            <w:r>
              <w:t xml:space="preserve">reporting. Kept nullable and provisional until resolved.</w:t>
            </w:r>
          </w:p>
        </w:tc>
      </w:tr>
      <w:tr>
        <w:tc>
          <w:tcPr/>
          <w:p>
            <w:pPr>
              <w:pStyle w:val="Compact"/>
            </w:pPr>
            <w:r>
              <w:t xml:space="preserve">ScrapCount</w:t>
            </w:r>
          </w:p>
        </w:tc>
        <w:tc>
          <w:tcPr/>
          <w:p>
            <w:pPr>
              <w:pStyle w:val="Compact"/>
            </w:pPr>
            <w:r>
              <w:t xml:space="preserve">INT</w:t>
            </w:r>
          </w:p>
        </w:tc>
        <w:tc>
          <w:tcPr/>
          <w:p>
            <w:pPr>
              <w:pStyle w:val="Compact"/>
            </w:pPr>
            <w:r>
              <w:t xml:space="preserve">NULL</w:t>
            </w:r>
          </w:p>
        </w:tc>
        <w:tc>
          <w:tcPr/>
          <w:p>
            <w:pPr>
              <w:pStyle w:val="Compact"/>
            </w:pPr>
            <w:r>
              <w:t xml:space="preserve">Cumulative scrap counter at event time. Delta via</w:t>
            </w:r>
            <w:r>
              <w:t xml:space="preserve"> </w:t>
            </w:r>
            <w:r>
              <w:rPr>
                <w:rStyle w:val="VerbatimChar"/>
              </w:rPr>
              <w:t xml:space="preserve">LAG()</w:t>
            </w:r>
            <w:r>
              <w:t xml:space="preserve">.</w:t>
            </w:r>
          </w:p>
        </w:tc>
      </w:tr>
      <w:tr>
        <w:tc>
          <w:tcPr>
            <w:shd w:val="clear" w:color="auto" w:fill="F2F2F2"/>
          </w:tcPr>
          <w:tcPr/>
          <w:p>
            <w:pPr>
              <w:pStyle w:val="Compact"/>
            </w:pPr>
            <w:r>
              <w:t xml:space="preserve">ScrapSourceId</w:t>
            </w:r>
          </w:p>
        </w:tc>
        <w:tc>
          <w:tcPr>
            <w:shd w:val="clear" w:color="auto" w:fill="F2F2F2"/>
          </w:tcPr>
          <w:tcPr/>
          <w:p>
            <w:pPr>
              <w:pStyle w:val="Compact"/>
            </w:pPr>
            <w:r>
              <w:t xml:space="preserve">BIGINT</w:t>
            </w:r>
          </w:p>
        </w:tc>
        <w:tc>
          <w:tcPr>
            <w:shd w:val="clear" w:color="auto" w:fill="F2F2F2"/>
          </w:tcPr>
          <w:tcPr/>
          <w:p>
            <w:pPr>
              <w:pStyle w:val="Compact"/>
            </w:pPr>
            <w:r>
              <w:t xml:space="preserve">FK → Workorder.ScrapSource.Id, NULL</w:t>
            </w:r>
          </w:p>
        </w:tc>
        <w:tc>
          <w:tcPr>
            <w:shd w:val="clear" w:color="auto" w:fill="F2F2F2"/>
          </w:tcPr>
          <w:tcPr/>
          <w:p>
            <w:pPr>
              <w:pStyle w:val="Compact"/>
            </w:pPr>
            <w:r>
              <w:t xml:space="preserve">Populated only when this event represents a scrap action. Distinguishes scrap-from-inventory vs scrap-from-location per OI-20. NULL for non-scrap checkpoints.</w:t>
            </w:r>
          </w:p>
        </w:tc>
      </w:tr>
      <w:tr>
        <w:tc>
          <w:tcPr/>
          <w:p>
            <w:pPr>
              <w:pStyle w:val="Compact"/>
            </w:pPr>
            <w:r>
              <w:t xml:space="preserve">WeightValue</w:t>
            </w:r>
          </w:p>
        </w:tc>
        <w:tc>
          <w:tcPr/>
          <w:p>
            <w:pPr>
              <w:pStyle w:val="Compact"/>
            </w:pPr>
            <w:r>
              <w:t xml:space="preserve">DECIMAL(12,4)</w:t>
            </w:r>
          </w:p>
        </w:tc>
        <w:tc>
          <w:tcPr/>
          <w:p>
            <w:pPr>
              <w:pStyle w:val="Compact"/>
            </w:pPr>
            <w:r>
              <w:t xml:space="preserve">NULL</w:t>
            </w:r>
          </w:p>
        </w:tc>
        <w:tc>
          <w:tcPr/>
          <w:p>
            <w:pPr>
              <w:pStyle w:val="Compact"/>
            </w:pPr>
            <w:r>
              <w:t xml:space="preserve">Captured when the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Who captured this event (initials-based per Phase 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checkpoint was registered.</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r>
              <w:t xml:space="preserve">Free-text note attached to the checkpoint.</w:t>
            </w:r>
          </w:p>
        </w:tc>
      </w:tr>
    </w:tbl>
    <w:p>
      <w:pPr>
        <w:pStyle w:val="BodyText"/>
      </w:pPr>
      <w:r>
        <w:rPr>
          <w:b/>
          <w:bCs/>
        </w:rPr>
        <w:t xml:space="preserve">Required index:</w:t>
      </w:r>
      <w:r>
        <w:t xml:space="preserve"> </w:t>
      </w:r>
      <w:r>
        <w:rPr>
          <w:rStyle w:val="VerbatimChar"/>
        </w:rPr>
        <w:t xml:space="preserve">(LotId, EventAt DESC)</w:t>
      </w:r>
      <w:r>
        <w:t xml:space="preserve"> </w:t>
      </w:r>
      <w:r>
        <w:t xml:space="preserve">—</w:t>
      </w:r>
      <w:r>
        <w:t xml:space="preserve"> </w:t>
      </w:r>
      <w:r>
        <w:t xml:space="preserve">“previous event for this LOT”</w:t>
      </w:r>
      <w:r>
        <w:t xml:space="preserve"> </w:t>
      </w:r>
      <w:r>
        <w:t xml:space="preserve">must be a single-row seek.</w:t>
      </w:r>
    </w:p>
    <w:p>
      <w:pPr>
        <w:pStyle w:val="BodyText"/>
      </w:pPr>
      <w:r>
        <w:rPr>
          <w:b/>
          <w:bCs/>
        </w:rPr>
        <w:t xml:space="preserve">Sample delta query:</w:t>
      </w:r>
    </w:p>
    <w:p>
      <w:pPr>
        <w:pStyle w:val="SourceCode"/>
      </w:pPr>
      <w:r>
        <w:rPr>
          <w:rStyle w:val="KeywordTok"/>
        </w:rPr>
        <w:t xml:space="preserve">SELECT</w:t>
      </w:r>
      <w:r>
        <w:br/>
      </w:r>
      <w:r>
        <w:rPr>
          <w:rStyle w:val="NormalTok"/>
        </w:rPr>
        <w:t xml:space="preserve">    pe.</w:t>
      </w:r>
      <w:r>
        <w:rPr>
          <w:rStyle w:val="KeywordTok"/>
        </w:rPr>
        <w:t xml:space="preserve">Id</w:t>
      </w:r>
      <w:r>
        <w:rPr>
          <w:rStyle w:val="NormalTok"/>
        </w:rPr>
        <w:t xml:space="preserve">,</w:t>
      </w:r>
      <w:r>
        <w:br/>
      </w:r>
      <w:r>
        <w:rPr>
          <w:rStyle w:val="NormalTok"/>
        </w:rPr>
        <w:t xml:space="preserve">    pe.EventAt,</w:t>
      </w:r>
      <w:r>
        <w:br/>
      </w:r>
      <w:r>
        <w:rPr>
          <w:rStyle w:val="NormalTok"/>
        </w:rPr>
        <w:t xml:space="preserve">    pe.ShotCount,</w:t>
      </w:r>
      <w:r>
        <w:br/>
      </w:r>
      <w:r>
        <w:rPr>
          <w:rStyle w:val="NormalTok"/>
        </w:rPr>
        <w:t xml:space="preserve">    pe.ShotCount </w:t>
      </w:r>
      <w:r>
        <w:rPr>
          <w:rStyle w:val="OperatorTok"/>
        </w:rPr>
        <w:t xml:space="preserve">-</w:t>
      </w:r>
      <w:r>
        <w:rPr>
          <w:rStyle w:val="NormalTok"/>
        </w:rPr>
        <w:t xml:space="preserve"> </w:t>
      </w:r>
      <w:r>
        <w:rPr>
          <w:rStyle w:val="FunctionTok"/>
        </w:rPr>
        <w:t xml:space="preserve">LAG</w:t>
      </w:r>
      <w:r>
        <w:rPr>
          <w:rStyle w:val="NormalTok"/>
        </w:rPr>
        <w:t xml:space="preserve">(pe.ShotCount)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ShotsSinceLast,</w:t>
      </w:r>
      <w:r>
        <w:br/>
      </w:r>
      <w:r>
        <w:rPr>
          <w:rStyle w:val="NormalTok"/>
        </w:rPr>
        <w:t xml:space="preserve">    pe.ScrapCount </w:t>
      </w:r>
      <w:r>
        <w:rPr>
          <w:rStyle w:val="OperatorTok"/>
        </w:rPr>
        <w:t xml:space="preserve">-</w:t>
      </w:r>
      <w:r>
        <w:rPr>
          <w:rStyle w:val="NormalTok"/>
        </w:rPr>
        <w:t xml:space="preserve"> </w:t>
      </w:r>
      <w:r>
        <w:rPr>
          <w:rStyle w:val="FunctionTok"/>
        </w:rPr>
        <w:t xml:space="preserve">LAG</w:t>
      </w:r>
      <w:r>
        <w:rPr>
          <w:rStyle w:val="NormalTok"/>
        </w:rPr>
        <w:t xml:space="preserve">(pe.ScrapCount)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ScrapSinceLast</w:t>
      </w:r>
      <w:r>
        <w:br/>
      </w:r>
      <w:r>
        <w:rPr>
          <w:rStyle w:val="KeywordTok"/>
        </w:rPr>
        <w:t xml:space="preserve">FROM</w:t>
      </w:r>
      <w:r>
        <w:rPr>
          <w:rStyle w:val="NormalTok"/>
        </w:rPr>
        <w:t xml:space="preserve"> Workorder.ProductionEvent pe</w:t>
      </w:r>
      <w:r>
        <w:br/>
      </w:r>
      <w:r>
        <w:rPr>
          <w:rStyle w:val="KeywordTok"/>
        </w:rPr>
        <w:t xml:space="preserve">WHERE</w:t>
      </w:r>
      <w:r>
        <w:rPr>
          <w:rStyle w:val="NormalTok"/>
        </w:rPr>
        <w:t xml:space="preserve"> pe.LotId </w:t>
      </w:r>
      <w:r>
        <w:rPr>
          <w:rStyle w:val="OperatorTok"/>
        </w:rPr>
        <w:t xml:space="preserve">=</w:t>
      </w:r>
      <w:r>
        <w:rPr>
          <w:rStyle w:val="NormalTok"/>
        </w:rPr>
        <w:t xml:space="preserve"> @LotId</w:t>
      </w:r>
      <w:r>
        <w:br/>
      </w:r>
      <w:r>
        <w:rPr>
          <w:rStyle w:val="KeywordTok"/>
        </w:rPr>
        <w:t xml:space="preserve">ORDER</w:t>
      </w:r>
      <w:r>
        <w:rPr>
          <w:rStyle w:val="NormalTok"/>
        </w:rPr>
        <w:t xml:space="preserve"> </w:t>
      </w:r>
      <w:r>
        <w:rPr>
          <w:rStyle w:val="KeywordTok"/>
        </w:rPr>
        <w:t xml:space="preserve">BY</w:t>
      </w:r>
      <w:r>
        <w:rPr>
          <w:rStyle w:val="NormalTok"/>
        </w:rPr>
        <w:t xml:space="preserve"> pe.EventAt;</w:t>
      </w:r>
    </w:p>
    <w:p>
      <w:pPr>
        <w:pStyle w:val="FirstParagraph"/>
      </w:pPr>
      <w:r>
        <w:rPr>
          <w:b/>
          <w:bCs/>
        </w:rPr>
        <w:t xml:space="preserve">Honda-trace (finished part → originating die):</w:t>
      </w:r>
      <w:r>
        <w:t xml:space="preserve"> </w:t>
      </w:r>
      <w:r>
        <w:t xml:space="preserve">walks</w:t>
      </w:r>
      <w:r>
        <w:t xml:space="preserve"> </w:t>
      </w:r>
      <w:r>
        <w:rPr>
          <w:rStyle w:val="VerbatimChar"/>
        </w:rPr>
        <w:t xml:space="preserve">LotGenealogy</w:t>
      </w:r>
      <w:r>
        <w:t xml:space="preserve"> </w:t>
      </w:r>
      <w:r>
        <w:t xml:space="preserve">from the finished LOT back to the die-cast-origin LOT, then reads</w:t>
      </w:r>
      <w:r>
        <w:t xml:space="preserve"> </w:t>
      </w:r>
      <w:r>
        <w:rPr>
          <w:rStyle w:val="VerbatimChar"/>
        </w:rPr>
        <w:t xml:space="preserve">Lot.ToolId</w:t>
      </w:r>
      <w:r>
        <w:t xml:space="preserve">. See Arc 2 Phase 7 narrative.</w:t>
      </w:r>
    </w:p>
    <w:p>
      <w:pPr>
        <w:pStyle w:val="BodyText"/>
      </w:pPr>
      <w:r>
        <w:rPr>
          <w:b/>
          <w:bCs/>
        </w:rPr>
        <w:t xml:space="preserve">Data collection capture:</w:t>
      </w:r>
      <w:r>
        <w:t xml:space="preserve"> </w:t>
      </w:r>
      <w:r>
        <w:t xml:space="preserve">Any</w:t>
      </w:r>
      <w:r>
        <w:t xml:space="preserve"> </w:t>
      </w:r>
      <w:r>
        <w:rPr>
          <w:rStyle w:val="VerbatimChar"/>
        </w:rPr>
        <w:t xml:space="preserve">DataCollectionField</w:t>
      </w:r>
      <w:r>
        <w:t xml:space="preserve"> </w:t>
      </w:r>
      <w:r>
        <w:t xml:space="preserve">configured on the operation template that isn’t promoted to a typed column above is captured in child</w:t>
      </w:r>
      <w:r>
        <w:t xml:space="preserve"> </w:t>
      </w:r>
      <w:r>
        <w:rPr>
          <w:rStyle w:val="VerbatimChar"/>
        </w:rPr>
        <w:t xml:space="preserve">ProductionEventValue</w:t>
      </w:r>
      <w:r>
        <w:t xml:space="preserve"> </w:t>
      </w:r>
      <w:r>
        <w:t xml:space="preserve">rows.</w:t>
      </w:r>
    </w:p>
    <w:bookmarkEnd w:id="63"/>
    <w:bookmarkStart w:id="64"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SHALL NOT also be written to</w:t>
      </w:r>
      <w:r>
        <w:t xml:space="preserve"> </w:t>
      </w:r>
      <w:r>
        <w:rPr>
          <w:rStyle w:val="VerbatimChar"/>
        </w:rPr>
        <w:t xml:space="preserve">ProductionEventValue</w:t>
      </w:r>
      <w:r>
        <w:t xml:space="preserve">. The Arc 2 Phase 1 write proc enforces this. (Pre-v1.9 the list included</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 </w:t>
      </w:r>
      <w:r>
        <w:t xml:space="preserve">— all removed from ProductionEvent in the v1.9 reshape.)</w:t>
      </w:r>
    </w:p>
    <w:bookmarkEnd w:id="64"/>
    <w:bookmarkStart w:id="65"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scanned the consumption</w:t>
            </w: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65"/>
    <w:bookmarkStart w:id="66"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recorded the reject</w:t>
            </w: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66"/>
    <w:bookmarkEnd w:id="67"/>
    <w:bookmarkStart w:id="81"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68"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8"/>
    <w:bookmarkStart w:id="69"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69"/>
    <w:bookmarkStart w:id="70"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70"/>
    <w:bookmarkStart w:id="71"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71"/>
    <w:bookmarkStart w:id="72"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72"/>
    <w:bookmarkStart w:id="73"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73"/>
    <w:bookmarkStart w:id="74"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74"/>
    <w:bookmarkStart w:id="75"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5"/>
    <w:bookmarkStart w:id="76"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6"/>
    <w:bookmarkStart w:id="77"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7"/>
    <w:bookmarkStart w:id="78"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8"/>
    <w:bookmarkStart w:id="79"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79"/>
    <w:bookmarkStart w:id="80"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80"/>
    <w:bookmarkEnd w:id="81"/>
    <w:bookmarkStart w:id="89"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82"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2"/>
    <w:bookmarkStart w:id="83"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3"/>
    <w:bookmarkStart w:id="84"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4"/>
    <w:bookmarkStart w:id="85"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85"/>
    <w:bookmarkStart w:id="86"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6"/>
    <w:bookmarkStart w:id="87"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r>
              <w:t xml:space="preserve">Operator who recorded / acknowledged the event (NULL for PLC-driven events without operator action)</w:t>
            </w: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Warm-up shot tracking (UJ-14, ✅ Resolved 2026-04-27 per OIR v2.14).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w:t>
      </w:r>
    </w:p>
    <w:bookmarkEnd w:id="87"/>
    <w:bookmarkStart w:id="88"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88"/>
    <w:bookmarkEnd w:id="89"/>
    <w:bookmarkStart w:id="102"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90"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90"/>
    <w:bookmarkStart w:id="91"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UI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91"/>
    <w:bookmarkStart w:id="92"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92"/>
    <w:bookmarkStart w:id="93"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No shot counter column.</w:t>
      </w:r>
      <w:r>
        <w:t xml:space="preserve"> </w:t>
      </w:r>
      <w:r>
        <w:t xml:space="preserve">Shot counts derive from</w:t>
      </w:r>
      <w:r>
        <w:t xml:space="preserve"> </w:t>
      </w:r>
      <w:r>
        <w:rPr>
          <w:rStyle w:val="VerbatimChar"/>
        </w:rPr>
        <w:t xml:space="preserve">Workorder.ProductionEvent</w:t>
      </w:r>
      <w:r>
        <w:t xml:space="preserve"> </w:t>
      </w:r>
      <w:r>
        <w:t xml:space="preserve">group-by</w:t>
      </w:r>
      <w:r>
        <w:t xml:space="preserve"> </w:t>
      </w:r>
      <w:r>
        <w:rPr>
          <w:rStyle w:val="VerbatimChar"/>
        </w:rPr>
        <w:t xml:space="preserve">(Tool, Cavity)</w:t>
      </w:r>
      <w:r>
        <w:t xml:space="preserve">. Rationale: avoids the double-write + drift problem between an aggregate column and the event stream; leaves all reset-logic to a future Gateway script rather than embedding it in every write path.</w:t>
      </w:r>
    </w:p>
    <w:bookmarkEnd w:id="93"/>
    <w:bookmarkStart w:id="94"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94"/>
    <w:bookmarkStart w:id="95"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CavityNumber</w:t>
            </w:r>
          </w:p>
        </w:tc>
        <w:tc>
          <w:tcPr/>
          <w:p>
            <w:pPr>
              <w:pStyle w:val="Compact"/>
            </w:pPr>
            <w:r>
              <w:t xml:space="preserve">INT</w:t>
            </w:r>
          </w:p>
        </w:tc>
        <w:tc>
          <w:tcPr/>
          <w:p>
            <w:pPr>
              <w:pStyle w:val="Compact"/>
            </w:pPr>
            <w:r>
              <w:t xml:space="preserve">NOT NULL</w:t>
            </w:r>
          </w:p>
        </w:tc>
        <w:tc>
          <w:tcPr/>
          <w:p>
            <w:pPr>
              <w:pStyle w:val="Compact"/>
            </w:pPr>
            <w:r>
              <w:t xml:space="preserve">1, 2, 3, … up to the die’s cavity count</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UQ_ToolCavity_ActiveToolCavityNumber</w:t>
      </w:r>
      <w:r>
        <w:t xml:space="preserve"> </w:t>
      </w:r>
      <w:r>
        <w:t xml:space="preserve">— filtered UNIQUE</w:t>
      </w:r>
      <w:r>
        <w:t xml:space="preserve"> </w:t>
      </w:r>
      <w:r>
        <w:rPr>
          <w:rStyle w:val="VerbatimChar"/>
        </w:rPr>
        <w:t xml:space="preserve">(ToolId, CavityNumber)</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95"/>
    <w:bookmarkStart w:id="96"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 constraints (migration</w:t>
      </w:r>
      <w:r>
        <w:rPr>
          <w:b/>
          <w:bCs/>
        </w:rPr>
        <w:t xml:space="preserve"> </w:t>
      </w:r>
      <w:r>
        <w:rPr>
          <w:rStyle w:val="VerbatimChar"/>
          <w:b/>
          <w:bCs/>
        </w:rPr>
        <w:t xml:space="preserve">0010_phase9_tools_and_workorder.sql</w:t>
      </w:r>
      <w:r>
        <w:rPr>
          <w:b/>
          <w:bCs/>
        </w:rPr>
        <w:t xml:space="preserve">):</w:t>
      </w:r>
      <w:r>
        <w:t xml:space="preserve"> </w:t>
      </w:r>
      <w:r>
        <w:t xml:space="preserve">-</w:t>
      </w:r>
      <w:r>
        <w:t xml:space="preserve"> </w:t>
      </w:r>
      <w:r>
        <w:rPr>
          <w:rStyle w:val="VerbatimChar"/>
        </w:rPr>
        <w:t xml:space="preserve">UQ_ToolAssignment_ActiveTool</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r>
        <w:t xml:space="preserve"> </w:t>
      </w:r>
      <w:r>
        <w:t xml:space="preserve">-</w:t>
      </w:r>
      <w:r>
        <w:t xml:space="preserve"> </w:t>
      </w:r>
      <w:r>
        <w:rPr>
          <w:rStyle w:val="VerbatimChar"/>
        </w:rPr>
        <w:t xml:space="preserve">UQ_ToolAssignment_ActiveCell</w:t>
      </w:r>
      <w:r>
        <w:t xml:space="preserve"> </w:t>
      </w:r>
      <w:r>
        <w:t xml:space="preserve">— filtered UNIQUE on</w:t>
      </w:r>
      <w:r>
        <w:t xml:space="preserve"> </w:t>
      </w:r>
      <w:r>
        <w:rPr>
          <w:rStyle w:val="VerbatimChar"/>
        </w:rPr>
        <w:t xml:space="preserve">CellLocationId</w:t>
      </w:r>
      <w:r>
        <w:t xml:space="preserve"> </w:t>
      </w:r>
      <w:r>
        <w:t xml:space="preserve">where</w:t>
      </w:r>
      <w:r>
        <w:t xml:space="preserve"> </w:t>
      </w:r>
      <w:r>
        <w:rPr>
          <w:rStyle w:val="VerbatimChar"/>
        </w:rPr>
        <w:t xml:space="preserve">ReleasedAt IS NULL</w:t>
      </w:r>
      <w:r>
        <w:t xml:space="preserve">. Enforces</w:t>
      </w:r>
      <w:r>
        <w:t xml:space="preserve"> </w:t>
      </w:r>
      <w:r>
        <w:rPr>
          <w:b/>
          <w:bCs/>
        </w:rPr>
        <w:t xml:space="preserve">one active mounted Tool per Cell</w:t>
      </w:r>
      <w:r>
        <w:t xml:space="preserve"> </w:t>
      </w:r>
      <w:r>
        <w:t xml:space="preserve">— correct for Die Cast.</w:t>
      </w:r>
    </w:p>
    <w:p>
      <w:pPr>
        <w:pStyle w:val="BodyText"/>
      </w:pPr>
      <w:r>
        <w:rPr>
          <w:b/>
          <w:bCs/>
        </w:rPr>
        <w:t xml:space="preserve">Known limitation (flagged v1.9, non-blocking for MVP):</w:t>
      </w:r>
      <w:r>
        <w:t xml:space="preserve"> </w:t>
      </w:r>
      <w:r>
        <w:t xml:space="preserve">The</w:t>
      </w:r>
      <w:r>
        <w:t xml:space="preserve"> </w:t>
      </w:r>
      <w:r>
        <w:rPr>
          <w:rStyle w:val="VerbatimChar"/>
        </w:rPr>
        <w:t xml:space="preserve">UQ_ToolAssignment_ActiveCell</w:t>
      </w:r>
      <w:r>
        <w:t xml:space="preserve"> </w:t>
      </w:r>
      <w:r>
        <w:t xml:space="preserve">rule is</w:t>
      </w:r>
      <w:r>
        <w:t xml:space="preserve"> </w:t>
      </w:r>
      <w:r>
        <w:rPr>
          <w:b/>
          <w:bCs/>
        </w:rPr>
        <w:t xml:space="preserve">Die-only-correct</w:t>
      </w:r>
      <w:r>
        <w:t xml:space="preserve">. When non-Die Tool types activate (Machining cutters/fixtures/jigs coexist on a cell; Trim dies + deburr tools + jigs; Assembly fixtures + jigs + gauges), this constraint breaks. Tool tracking is Die-focused in MVP, so the constraint doesn’t bite yet. Post-MVP adjustment path: either scope the UNIQUE to</w:t>
      </w:r>
      <w:r>
        <w:t xml:space="preserve"> </w:t>
      </w:r>
      <w:r>
        <w:rPr>
          <w:rStyle w:val="VerbatimChar"/>
        </w:rPr>
        <w:t xml:space="preserve">(CellLocationId, ToolTypeId=Die)</w:t>
      </w:r>
      <w:r>
        <w:t xml:space="preserve"> </w:t>
      </w:r>
      <w:r>
        <w:t xml:space="preserve">by joining</w:t>
      </w:r>
      <w:r>
        <w:t xml:space="preserve"> </w:t>
      </w:r>
      <w:r>
        <w:rPr>
          <w:rStyle w:val="VerbatimChar"/>
        </w:rPr>
        <w:t xml:space="preserve">Tool.ToolTypeId</w:t>
      </w:r>
      <w:r>
        <w:t xml:space="preserve"> </w:t>
      </w:r>
      <w:r>
        <w:t xml:space="preserve">via an indexed view or a filtered-on-Die filtered unique, OR drop the Cell UNIQUE entirely and let</w:t>
      </w:r>
      <w:r>
        <w:t xml:space="preserve"> </w:t>
      </w:r>
      <w:r>
        <w:rPr>
          <w:rStyle w:val="VerbatimChar"/>
        </w:rPr>
        <w:t xml:space="preserve">UQ_ToolAssignment_ActiveTool</w:t>
      </w:r>
      <w:r>
        <w:t xml:space="preserve"> </w:t>
      </w:r>
      <w:r>
        <w:t xml:space="preserve">carry the rule. Either is a one-migration refactor when the time comes.</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96"/>
    <w:bookmarkStart w:id="97"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97"/>
    <w:bookmarkStart w:id="98"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98"/>
    <w:bookmarkStart w:id="99"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99"/>
    <w:bookmarkStart w:id="100"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100"/>
    <w:bookmarkStart w:id="101" w:name="cross-references"/>
    <w:p>
      <w:pPr>
        <w:pStyle w:val="Heading3"/>
      </w:pPr>
      <w:r>
        <w:t xml:space="preserve">Cross-references</w:t>
      </w:r>
    </w:p>
    <w:p>
      <w:pPr>
        <w:pStyle w:val="Compact"/>
        <w:numPr>
          <w:ilvl w:val="0"/>
          <w:numId w:val="1010"/>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Schema hook for</w:t>
      </w:r>
      <w:r>
        <w:t xml:space="preserve"> </w:t>
      </w:r>
      <w:r>
        <w:rPr>
          <w:b/>
          <w:bCs/>
        </w:rPr>
        <w:t xml:space="preserve">FUTURE</w:t>
      </w:r>
      <w:r>
        <w:t xml:space="preserve"> </w:t>
      </w:r>
      <w:r>
        <w:t xml:space="preserve">Maintenance WOs targeting a Tool. The only</w:t>
      </w:r>
      <w:r>
        <w:t xml:space="preserve"> </w:t>
      </w:r>
      <w:r>
        <w:rPr>
          <w:rStyle w:val="VerbatimChar"/>
        </w:rPr>
        <w:t xml:space="preserve">WorkOrderType</w:t>
      </w:r>
      <w:r>
        <w:t xml:space="preserve"> </w:t>
      </w:r>
      <w:r>
        <w:t xml:space="preserve">seeded in MVP is</w:t>
      </w:r>
      <w:r>
        <w:t xml:space="preserve"> </w:t>
      </w:r>
      <w:r>
        <w:rPr>
          <w:rStyle w:val="VerbatimChar"/>
        </w:rPr>
        <w:t xml:space="preserve">Production</w:t>
      </w:r>
      <w:r>
        <w:t xml:space="preserve">, which legitimately has NULL</w:t>
      </w:r>
      <w:r>
        <w:t xml:space="preserve"> </w:t>
      </w:r>
      <w:r>
        <w:rPr>
          <w:rStyle w:val="VerbatimChar"/>
        </w:rPr>
        <w:t xml:space="preserve">ToolId</w:t>
      </w:r>
      <w:r>
        <w:t xml:space="preserve">; the proc layer will enforce non-NULL on Maintenance WOs once that flow activates.</w:t>
      </w:r>
    </w:p>
    <w:p>
      <w:pPr>
        <w:pStyle w:val="Compact"/>
        <w:numPr>
          <w:ilvl w:val="0"/>
          <w:numId w:val="1010"/>
        </w:numPr>
      </w:pPr>
      <w:r>
        <w:rPr>
          <w:b/>
          <w:bCs/>
        </w:rPr>
        <w:t xml:space="preserve">Workorder.ProductionEvent → Lots.Lot.ToolId / Lots.Lot.ToolCavityId</w:t>
      </w:r>
      <w:r>
        <w:t xml:space="preserve"> </w:t>
      </w:r>
      <w:r>
        <w:t xml:space="preserve">(§4 + §3) — Tool and Cavity at event time are derived via</w:t>
      </w:r>
      <w:r>
        <w:t xml:space="preserve"> </w:t>
      </w:r>
      <w:r>
        <w:rPr>
          <w:rStyle w:val="VerbatimChar"/>
        </w:rPr>
        <w:t xml:space="preserve">ProductionEvent.LotId → Lots.Lot.ToolId</w:t>
      </w:r>
      <w:r>
        <w:t xml:space="preserve"> </w:t>
      </w:r>
      <w:r>
        <w:t xml:space="preserve">/</w:t>
      </w:r>
      <w:r>
        <w:t xml:space="preserve"> </w:t>
      </w:r>
      <w:r>
        <w:rPr>
          <w:rStyle w:val="VerbatimChar"/>
        </w:rPr>
        <w:t xml:space="preserve">.ToolCavityId</w:t>
      </w:r>
      <w:r>
        <w:t xml:space="preserve">. The pre-v1.9</w:t>
      </w:r>
      <w:r>
        <w:t xml:space="preserve"> </w:t>
      </w:r>
      <w:r>
        <w:rPr>
          <w:rStyle w:val="VerbatimChar"/>
        </w:rPr>
        <w:t xml:space="preserve">ProductionEvent.DieIdentifier</w:t>
      </w:r>
      <w:r>
        <w:t xml:space="preserve"> </w:t>
      </w:r>
      <w:r>
        <w:t xml:space="preserve">(NVARCHAR snapshot) and</w:t>
      </w:r>
      <w:r>
        <w:t xml:space="preserve"> </w:t>
      </w:r>
      <w:r>
        <w:rPr>
          <w:rStyle w:val="VerbatimChar"/>
        </w:rPr>
        <w:t xml:space="preserve">CavityNumber</w:t>
      </w:r>
      <w:r>
        <w:t xml:space="preserve"> </w:t>
      </w:r>
      <w:r>
        <w:t xml:space="preserve">columns were dropped in the v1.9 reshape —</w:t>
      </w:r>
      <w:r>
        <w:t xml:space="preserve"> </w:t>
      </w:r>
      <w:r>
        <w:rPr>
          <w:rStyle w:val="VerbatimChar"/>
        </w:rPr>
        <w:t xml:space="preserve">Lots.Lot</w:t>
      </w:r>
      <w:r>
        <w:t xml:space="preserve"> </w:t>
      </w:r>
      <w:r>
        <w:t xml:space="preserve">is the system of record for die-cast LOTs and never mutates the Tool / Cavity FK after creation, so the snapshot was redundant.</w:t>
      </w:r>
    </w:p>
    <w:p>
      <w:pPr>
        <w:pStyle w:val="Compact"/>
        <w:numPr>
          <w:ilvl w:val="0"/>
          <w:numId w:val="1010"/>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10"/>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w:t>
      </w:r>
    </w:p>
    <w:p>
      <w:r>
        <w:pict>
          <v:rect style="width:0;height:1.5pt" o:hralign="center" o:hrstd="t" o:hr="t"/>
        </w:pict>
      </w:r>
    </w:p>
    <w:bookmarkEnd w:id="101"/>
    <w:bookmarkEnd w:id="102"/>
    <w:bookmarkStart w:id="110"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103"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03"/>
    <w:bookmarkStart w:id="104"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4"/>
    <w:bookmarkStart w:id="105"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5"/>
    <w:bookmarkStart w:id="106"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6"/>
    <w:bookmarkStart w:id="107"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07"/>
    <w:bookmarkStart w:id="108"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08"/>
    <w:bookmarkStart w:id="109"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2026-04-29T16:10:05Z</dcterms:created>
  <dcterms:modified xsi:type="dcterms:W3CDTF">2026-04-29T16:10:05Z</dcterms:modified>
</cp:coreProperties>
</file>

<file path=docProps/custom.xml><?xml version="1.0" encoding="utf-8"?>
<Properties xmlns="http://schemas.openxmlformats.org/officeDocument/2006/custom-properties" xmlns:vt="http://schemas.openxmlformats.org/officeDocument/2006/docPropsVTypes"/>
</file>