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mpp-mes-data-model-reference"/>
    <w:p>
      <w:pPr>
        <w:pStyle w:val="Heading1"/>
      </w:pPr>
      <w:r>
        <w:t xml:space="preserve">MPP MES — Data Model Reference</w:t>
      </w:r>
    </w:p>
    <w:p>
      <w:pPr>
        <w:pStyle w:val="FirstParagraph"/>
      </w:pPr>
      <w:r>
        <w:rPr>
          <w:b/>
          <w:bCs/>
        </w:rPr>
        <w:t xml:space="preserve">Version:</w:t>
      </w:r>
      <w:r>
        <w:t xml:space="preserve"> </w:t>
      </w:r>
      <w:r>
        <w:t xml:space="preserve">v1.9 working draft (rev 2026-04-24c — OI-12</w:t>
      </w:r>
      <w:r>
        <w:t xml:space="preserve"> </w:t>
      </w:r>
      <w:r>
        <w:rPr>
          <w:rStyle w:val="VerbatimChar"/>
        </w:rPr>
        <w:t xml:space="preserve">MaxParts</w:t>
      </w:r>
      <w:r>
        <w:t xml:space="preserve"> </w:t>
      </w:r>
      <w:r>
        <w:t xml:space="preserve">moved Container→Item; see revision history)</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~73</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p>
            <w:pPr>
              <w:pStyle w:val="Compact"/>
            </w:pPr>
            <w:r>
              <w:t xml:space="preserve">0.4.1</w:t>
            </w:r>
          </w:p>
        </w:tc>
        <w:tc>
          <w:tcPr/>
          <w:p>
            <w:pPr>
              <w:pStyle w:val="Compact"/>
            </w:pPr>
            <w:r>
              <w:t xml:space="preserve">2026-04-10</w:t>
            </w:r>
          </w:p>
        </w:tc>
        <w:tc>
          <w:tcPr/>
          <w:p>
            <w:pPr>
              <w:pStyle w:val="Compact"/>
            </w:pPr>
            <w:r>
              <w:t xml:space="preserve">Blue Ridge Automation</w:t>
            </w:r>
          </w:p>
        </w:tc>
        <w:tc>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p>
            <w:pPr>
              <w:pStyle w:val="Compact"/>
            </w:pPr>
            <w:r>
              <w:t xml:space="preserve">0.5.1</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shd w:val="clear" w:color="auto" w:fill="F2F2F2"/>
          </w:tcPr>
          <w:tcPr/>
          <w:p>
            <w:pPr>
              <w:pStyle w:val="Compact"/>
            </w:pPr>
            <w:r>
              <w:t xml:space="preserve">0.6</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p>
            <w:pPr>
              <w:pStyle w:val="Compact"/>
            </w:pPr>
            <w:r>
              <w:t xml:space="preserve">1.1</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shd w:val="clear" w:color="auto" w:fill="F2F2F2"/>
          </w:tcPr>
          <w:tcPr/>
          <w:p>
            <w:pPr>
              <w:pStyle w:val="Compact"/>
            </w:pPr>
            <w:r>
              <w:t xml:space="preserve">1.8</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p>
            <w:pPr>
              <w:pStyle w:val="Compact"/>
            </w:pPr>
            <w:r>
              <w:t xml:space="preserve">1.9c</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OI-12</w:t>
            </w:r>
            <w:r>
              <w:rPr>
                <w:b/>
                <w:bCs/>
              </w:rPr>
              <w:t xml:space="preserve"> </w:t>
            </w:r>
            <w:r>
              <w:rPr>
                <w:rStyle w:val="VerbatimChar"/>
                <w:b/>
                <w:bCs/>
              </w:rPr>
              <w:t xml:space="preserve">MaxParts</w:t>
            </w:r>
            <w:r>
              <w:rPr>
                <w:b/>
                <w:bCs/>
              </w:rPr>
              <w:t xml:space="preserve"> </w:t>
            </w:r>
            <w:r>
              <w:rPr>
                <w:b/>
                <w:bCs/>
              </w:rPr>
              <w:t xml:space="preserve">moved from</w:t>
            </w:r>
            <w:r>
              <w:rPr>
                <w:b/>
                <w:bCs/>
              </w:rPr>
              <w:t xml:space="preserve"> </w:t>
            </w:r>
            <w:r>
              <w:rPr>
                <w:rStyle w:val="VerbatimChar"/>
                <w:b/>
                <w:bCs/>
              </w:rPr>
              <w:t xml:space="preserve">Parts.ContainerConfig</w:t>
            </w:r>
            <w:r>
              <w:rPr>
                <w:b/>
                <w:bCs/>
              </w:rPr>
              <w:t xml:space="preserve"> </w:t>
            </w:r>
            <w:r>
              <w:rPr>
                <w:b/>
                <w:bCs/>
              </w:rPr>
              <w:t xml:space="preserve">to</w:t>
            </w:r>
            <w:r>
              <w:rPr>
                <w:b/>
                <w:bCs/>
              </w:rPr>
              <w:t xml:space="preserve"> </w:t>
            </w:r>
            <w:r>
              <w:rPr>
                <w:rStyle w:val="VerbatimChar"/>
                <w:b/>
                <w:bCs/>
              </w:rPr>
              <w:t xml:space="preserve">Parts.Item</w:t>
            </w:r>
            <w:r>
              <w:rPr>
                <w:b/>
                <w:bCs/>
              </w:rPr>
              <w:t xml:space="preserve">.</w:t>
            </w:r>
            <w:r>
              <w:t xml:space="preserve"> </w:t>
            </w:r>
            <w:r>
              <w:t xml:space="preserve">Jacques’s 2026-04-24 OIR review flagged the original placement as fundamentally inaccurate —</w:t>
            </w:r>
            <w:r>
              <w:t xml:space="preserve"> </w:t>
            </w:r>
            <w:r>
              <w:rPr>
                <w:rStyle w:val="VerbatimChar"/>
              </w:rPr>
              <w:t xml:space="preserve">MaxParts</w:t>
            </w:r>
            <w:r>
              <w:t xml:space="preserve"> </w:t>
            </w:r>
            <w:r>
              <w:t xml:space="preserve">is a</w:t>
            </w:r>
            <w:r>
              <w:t xml:space="preserve"> </w:t>
            </w:r>
            <w:r>
              <w:rPr>
                <w:b/>
                <w:bCs/>
              </w:rPr>
              <w:t xml:space="preserve">Part attribute</w:t>
            </w:r>
            <w:r>
              <w:t xml:space="preserve"> </w:t>
            </w:r>
            <w:r>
              <w:t xml:space="preserve">evaluated when inventory is checked into a Location, not a container-packing attribute. The column was originally added to</w:t>
            </w:r>
            <w:r>
              <w:t xml:space="preserve"> </w:t>
            </w:r>
            <w:r>
              <w:rPr>
                <w:rStyle w:val="VerbatimChar"/>
              </w:rPr>
              <w:t xml:space="preserve">Parts.ContainerConfig</w:t>
            </w:r>
            <w:r>
              <w:t xml:space="preserve"> </w:t>
            </w:r>
            <w:r>
              <w:t xml:space="preserve">in v1.8 (landed Phase G migration</w:t>
            </w:r>
            <w:r>
              <w:t xml:space="preserve"> </w:t>
            </w:r>
            <w:r>
              <w:rPr>
                <w:rStyle w:val="VerbatimChar"/>
              </w:rPr>
              <w:t xml:space="preserve">0010</w:t>
            </w:r>
            <w:r>
              <w:t xml:space="preserve">); this revision relocates it. New column:</w:t>
            </w:r>
            <w:r>
              <w:t xml:space="preserve"> </w:t>
            </w:r>
            <w:r>
              <w:rPr>
                <w:rStyle w:val="VerbatimChar"/>
              </w:rPr>
              <w:t xml:space="preserve">Parts.Item.MaxParts INT NULL</w:t>
            </w:r>
            <w:r>
              <w:t xml:space="preserve"> </w:t>
            </w:r>
            <w:r>
              <w:t xml:space="preserve">— hard cap on pieces of this Item allowed at any single Location. Scan-in mutation sums existing pieces of this Item at the destination Location + incoming quantity and rejects if the result would exceed</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w:t>
            </w:r>
            <w:r>
              <w:rPr>
                <w:rStyle w:val="VerbatimChar"/>
              </w:rPr>
              <w:t xml:space="preserve">LocationAttribute</w:t>
            </w:r>
            <w:r>
              <w:t xml:space="preserve"> </w:t>
            </w:r>
            <w:r>
              <w:t xml:space="preserve">on Cell, per-Location aggregate cap across all Items) — the two are orthogonal per Jacques’s confirmation.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FDS-03-019 + ERD + test suite</w:t>
            </w:r>
            <w:r>
              <w:t xml:space="preserve"> </w:t>
            </w:r>
            <w:r>
              <w:rPr>
                <w:rStyle w:val="VerbatimChar"/>
              </w:rPr>
              <w:t xml:space="preserve">0019</w:t>
            </w:r>
            <w:r>
              <w:t xml:space="preserve">.</w:t>
            </w:r>
          </w:p>
        </w:tc>
      </w:tr>
      <w:tr>
        <w:tc>
          <w:tcPr>
            <w:shd w:val="clear" w:color="auto" w:fill="F2F2F2"/>
          </w:tcPr>
          <w:tcPr/>
          <w:p>
            <w:pPr>
              <w:pStyle w:val="Compact"/>
            </w:pPr>
            <w:r>
              <w:t xml:space="preserve">1.9b</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OI-07 correction —</w:t>
            </w:r>
            <w:r>
              <w:rPr>
                <w:b/>
                <w:bCs/>
              </w:rPr>
              <w:t xml:space="preserve"> </w:t>
            </w:r>
            <w:r>
              <w:rPr>
                <w:rStyle w:val="VerbatimChar"/>
                <w:b/>
                <w:bCs/>
              </w:rPr>
              <w:t xml:space="preserve">Workorder.WorkOrderType</w:t>
            </w:r>
            <w:r>
              <w:rPr>
                <w:b/>
                <w:bCs/>
              </w:rPr>
              <w:t xml:space="preserve"> </w:t>
            </w:r>
            <w:r>
              <w:rPr>
                <w:b/>
                <w:bCs/>
              </w:rPr>
              <w:t xml:space="preserve">seed corrected to</w:t>
            </w:r>
            <w:r>
              <w:rPr>
                <w:b/>
                <w:bCs/>
              </w:rPr>
              <w:t xml:space="preserve"> </w:t>
            </w:r>
            <w:r>
              <w:rPr>
                <w:rStyle w:val="VerbatimChar"/>
                <w:b/>
                <w:bCs/>
              </w:rPr>
              <w:t xml:space="preserve">Production</w:t>
            </w:r>
            <w:r>
              <w:rPr>
                <w:b/>
                <w:bCs/>
              </w:rPr>
              <w:t xml:space="preserve"> </w:t>
            </w:r>
            <w:r>
              <w:rPr>
                <w:b/>
                <w:bCs/>
              </w:rPr>
              <w:t xml:space="preserve">only.</w:t>
            </w:r>
            <w:r>
              <w:t xml:space="preserve"> </w:t>
            </w:r>
            <w:r>
              <w:t xml:space="preserve">Jacques clarified the 2026-04-20 meeting note was mis-recorded: the</w:t>
            </w:r>
            <w:r>
              <w:t xml:space="preserve"> </w:t>
            </w:r>
            <w:r>
              <w:t xml:space="preserve">“Recipe”</w:t>
            </w:r>
            <w:r>
              <w:t xml:space="preserve"> </w:t>
            </w:r>
            <w:r>
              <w:t xml:space="preserve">line was actually describing the</w:t>
            </w:r>
            <w:r>
              <w:t xml:space="preserve"> </w:t>
            </w:r>
            <w:r>
              <w:rPr>
                <w:b/>
                <w:bCs/>
              </w:rPr>
              <w:t xml:space="preserve">Production</w:t>
            </w:r>
            <w:r>
              <w:t xml:space="preserve"> </w:t>
            </w:r>
            <w:r>
              <w:t xml:space="preserve">work orders already modelled (MVP-LITE, auto-generated, invisible to operators), not a separate Recipe type. Under MPP’s actual taxonomy,</w:t>
            </w:r>
            <w:r>
              <w:t xml:space="preserve"> </w:t>
            </w:r>
            <w:r>
              <w:rPr>
                <w:rStyle w:val="VerbatimChar"/>
              </w:rPr>
              <w:t xml:space="preserve">Demand</w:t>
            </w:r>
            <w:r>
              <w:t xml:space="preserve"> </w:t>
            </w:r>
            <w:r>
              <w:t xml:space="preserve">= planned preventative maintenance (FUTURE) and</w:t>
            </w:r>
            <w:r>
              <w:t xml:space="preserve"> </w:t>
            </w:r>
            <w:r>
              <w:rPr>
                <w:rStyle w:val="VerbatimChar"/>
              </w:rPr>
              <w:t xml:space="preserve">Maintenance</w:t>
            </w:r>
            <w:r>
              <w:t xml:space="preserve"> </w:t>
            </w:r>
            <w:r>
              <w:t xml:space="preserve">= emergency maintenance (FUTURE); neither is being built in this project. Seed changes (documented here; SQL correction migration queued — shipped Phase G migration</w:t>
            </w:r>
            <w:r>
              <w:t xml:space="preserve"> </w:t>
            </w:r>
            <w:r>
              <w:rPr>
                <w:rStyle w:val="VerbatimChar"/>
              </w:rPr>
              <w:t xml:space="preserve">0010</w:t>
            </w:r>
            <w:r>
              <w:t xml:space="preserve"> </w:t>
            </w:r>
            <w:r>
              <w:t xml:space="preserve">has 3 rows at Ids 1/2/3 that need correcting via a follow-up migration): rename Id=1</w:t>
            </w:r>
            <w:r>
              <w:t xml:space="preserve"> </w:t>
            </w:r>
            <w:r>
              <w:rPr>
                <w:rStyle w:val="VerbatimChar"/>
              </w:rPr>
              <w:t xml:space="preserve">Demand</w:t>
            </w:r>
            <w:r>
              <w:t xml:space="preserve">→</w:t>
            </w:r>
            <w:r>
              <w:rPr>
                <w:rStyle w:val="VerbatimChar"/>
              </w:rPr>
              <w:t xml:space="preserve">Production</w:t>
            </w:r>
            <w:r>
              <w:t xml:space="preserve">, DELETE Ids 2 (</w:t>
            </w:r>
            <w:r>
              <w:rPr>
                <w:rStyle w:val="VerbatimChar"/>
              </w:rPr>
              <w:t xml:space="preserve">Maintenance</w:t>
            </w:r>
            <w:r>
              <w:t xml:space="preserve">) and 3 (</w:t>
            </w:r>
            <w:r>
              <w:rPr>
                <w:rStyle w:val="VerbatimChar"/>
              </w:rPr>
              <w:t xml:space="preserve">Recipe</w:t>
            </w:r>
            <w:r>
              <w:t xml:space="preserve">). Code table</w:t>
            </w:r>
            <w:r>
              <w:t xml:space="preserve"> </w:t>
            </w:r>
            <w:r>
              <w:rPr>
                <w:b/>
                <w:bCs/>
              </w:rPr>
              <w:t xml:space="preserve">mechanism</w:t>
            </w:r>
            <w:r>
              <w:t xml:space="preserve"> </w:t>
            </w:r>
            <w:r>
              <w:t xml:space="preserve">stays as a future hook — future maintenance-engine project INSERTs</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w:t>
            </w:r>
            <w:r>
              <w:t xml:space="preserve"> </w:t>
            </w:r>
            <w:r>
              <w:rPr>
                <w:rStyle w:val="VerbatimChar"/>
              </w:rPr>
              <w:t xml:space="preserve">Workorder.WorkOrder.ToolId</w:t>
            </w:r>
            <w:r>
              <w:t xml:space="preserve"> </w:t>
            </w:r>
            <w:r>
              <w:t xml:space="preserve">FK to</w:t>
            </w:r>
            <w:r>
              <w:t xml:space="preserve"> </w:t>
            </w:r>
            <w:r>
              <w:rPr>
                <w:rStyle w:val="VerbatimChar"/>
              </w:rPr>
              <w:t xml:space="preserve">Tools.Tool</w:t>
            </w:r>
            <w:r>
              <w:t xml:space="preserve"> </w:t>
            </w:r>
            <w:r>
              <w:t xml:space="preserve">stays as a hook for future Maintenance WOs targeting a Tool. No changes to the code table schema itself. Downstream docs updated: OIR v2.9 OI-07 rewrite, FDS v0.11 §6.10 rename + FDS-06-027 deletion, Arc 2 Plan v0.2 overlay, ERD Workorder + Master tabs.</w:t>
            </w:r>
          </w:p>
        </w:tc>
      </w:tr>
      <w:tr>
        <w:tc>
          <w:tcPr/>
          <w:p>
            <w:pPr>
              <w:pStyle w:val="Compact"/>
            </w:pPr>
            <w:r>
              <w:t xml:space="preserve">1.9</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Arc 2 model revisions (2026-04-23 session) — Tool/Cavity promoted to</w:t>
            </w:r>
            <w:r>
              <w:rPr>
                <w:b/>
                <w:bCs/>
              </w:rPr>
              <w:t xml:space="preserve"> </w:t>
            </w:r>
            <w:r>
              <w:rPr>
                <w:rStyle w:val="VerbatimChar"/>
                <w:b/>
                <w:bCs/>
              </w:rPr>
              <w:t xml:space="preserve">Lots.Lot</w:t>
            </w:r>
            <w:r>
              <w:rPr>
                <w:b/>
                <w:bCs/>
              </w:rPr>
              <w:t xml:space="preserve">,</w:t>
            </w:r>
            <w:r>
              <w:rPr>
                <w:b/>
                <w:bCs/>
              </w:rPr>
              <w:t xml:space="preserve"> </w:t>
            </w:r>
            <w:r>
              <w:rPr>
                <w:rStyle w:val="VerbatimChar"/>
                <w:b/>
                <w:bCs/>
              </w:rPr>
              <w:t xml:space="preserve">Workorder.ProductionEvent</w:t>
            </w:r>
            <w:r>
              <w:rPr>
                <w:b/>
                <w:bCs/>
              </w:rPr>
              <w:t xml:space="preserve"> </w:t>
            </w:r>
            <w:r>
              <w:rPr>
                <w:b/>
                <w:bCs/>
              </w:rPr>
              <w:t xml:space="preserve">reshaped as checkpoint table, new</w:t>
            </w:r>
            <w:r>
              <w:rPr>
                <w:b/>
                <w:bCs/>
              </w:rPr>
              <w:t xml:space="preserve"> </w:t>
            </w:r>
            <w:r>
              <w:rPr>
                <w:rStyle w:val="VerbatimChar"/>
                <w:b/>
                <w:bCs/>
              </w:rPr>
              <w:t xml:space="preserve">Lots.IdentifierSequence</w:t>
            </w:r>
            <w:r>
              <w:rPr>
                <w:b/>
                <w:bCs/>
              </w:rPr>
              <w:t xml:space="preserve"> </w:t>
            </w:r>
            <w:r>
              <w:rPr>
                <w:b/>
                <w:bCs/>
              </w:rPr>
              <w:t xml:space="preserve">table,</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Four changes land:</w:t>
            </w:r>
            <w:r>
              <w:rPr>
                <w:b/>
                <w:bCs/>
              </w:rPr>
              <w:t xml:space="preserve">(1)</w:t>
            </w:r>
            <w:r>
              <w:rPr>
                <w:b/>
                <w:bCs/>
              </w:rPr>
              <w:t xml:space="preserve"> </w:t>
            </w:r>
            <w:r>
              <w:rPr>
                <w:rStyle w:val="VerbatimChar"/>
                <w:b/>
                <w:bCs/>
              </w:rPr>
              <w:t xml:space="preserve">Lots.Lot</w:t>
            </w:r>
            <w:r>
              <w:rPr>
                <w:b/>
                <w:bCs/>
              </w:rPr>
              <w:t xml:space="preserve"> </w:t>
            </w:r>
            <w:r>
              <w:rPr>
                <w:b/>
                <w:bCs/>
              </w:rPr>
              <w:t xml:space="preserve">ADDs</w:t>
            </w:r>
            <w:r>
              <w:rPr>
                <w:b/>
                <w:bCs/>
              </w:rPr>
              <w:t xml:space="preserve"> </w:t>
            </w:r>
            <w:r>
              <w:rPr>
                <w:rStyle w:val="VerbatimChar"/>
                <w:b/>
                <w:bCs/>
              </w:rPr>
              <w:t xml:space="preserve">ToolId BIGINT NULL FK → Tools.Tool.Id</w:t>
            </w:r>
            <w:r>
              <w:rPr>
                <w:b/>
                <w:bCs/>
              </w:rPr>
              <w:t xml:space="preserve"> </w:t>
            </w:r>
            <w:r>
              <w:rPr>
                <w:b/>
                <w:bCs/>
              </w:rPr>
              <w:t xml:space="preserve">and</w:t>
            </w:r>
            <w:r>
              <w:rPr>
                <w:b/>
                <w:bCs/>
              </w:rPr>
              <w:t xml:space="preserve"> </w:t>
            </w:r>
            <w:r>
              <w:rPr>
                <w:rStyle w:val="VerbatimChar"/>
                <w:b/>
                <w:bCs/>
              </w:rPr>
              <w:t xml:space="preserve">ToolCavityId BIGINT NULL FK → Tools.ToolCavity.Id</w:t>
            </w:r>
            <w:r>
              <w:rPr>
                <w:b/>
                <w:bCs/>
              </w:rPr>
              <w:t xml:space="preserve">.</w:t>
            </w:r>
            <w:r>
              <w:t xml:space="preserve"> </w:t>
            </w:r>
            <w:r>
              <w:t xml:space="preserve">Required at</w:t>
            </w:r>
            <w:r>
              <w:t xml:space="preserve"> </w:t>
            </w:r>
            <w:r>
              <w:rPr>
                <w:rStyle w:val="VerbatimChar"/>
              </w:rPr>
              <w:t xml:space="preserve">Lot_Create</w:t>
            </w:r>
            <w:r>
              <w:t xml:space="preserve"> </w:t>
            </w:r>
            <w:r>
              <w:t xml:space="preserve">for die-cast-origin LOTs (validated against</w:t>
            </w:r>
            <w:r>
              <w:t xml:space="preserve"> </w:t>
            </w:r>
            <w:r>
              <w:rPr>
                <w:rStyle w:val="VerbatimChar"/>
              </w:rPr>
              <w:t xml:space="preserve">ToolAssignment_ListActiveByCell</w:t>
            </w:r>
            <w:r>
              <w:t xml:space="preserve"> </w:t>
            </w:r>
            <w:r>
              <w:t xml:space="preserve">+ Cavity belongs to Tool + Cavity Active). NULL for all other origins (Received, Trim / Machining intermediate, Assembly, Serialized). NULL after</w:t>
            </w:r>
            <w:r>
              <w:t xml:space="preserve"> </w:t>
            </w:r>
            <w:r>
              <w:rPr>
                <w:rStyle w:val="VerbatimChar"/>
              </w:rPr>
              <w:t xml:space="preserve">Lot_Merge</w:t>
            </w:r>
            <w:r>
              <w:t xml:space="preserve"> </w:t>
            </w:r>
            <w:r>
              <w:t xml:space="preserve">on blended-origin LOTs. Downstream LOTs do NOT inherit — Honda-trace via</w:t>
            </w:r>
            <w:r>
              <w:t xml:space="preserve"> </w:t>
            </w:r>
            <w:r>
              <w:rPr>
                <w:rStyle w:val="VerbatimChar"/>
              </w:rPr>
              <w:t xml:space="preserve">LotGenealogy</w:t>
            </w:r>
            <w:r>
              <w:t xml:space="preserve"> </w:t>
            </w:r>
            <w:r>
              <w:t xml:space="preserve">recursive traversal. Codifies OI-09: a die-cast machine with N active cavities produces</w:t>
            </w:r>
            <w:r>
              <w:t xml:space="preserve"> </w:t>
            </w:r>
            <w:r>
              <w:rPr>
                <w:b/>
                <w:bCs/>
              </w:rPr>
              <w:t xml:space="preserve">N parallel independent LOTs, not sublots</w:t>
            </w:r>
            <w:r>
              <w:t xml:space="preserve"> </w:t>
            </w:r>
            <w:r>
              <w:t xml:space="preserve">(each LOT fills at its own rate, closes independently, no parent/child FK between cavity peers). Pre-v1.9</w:t>
            </w:r>
            <w:r>
              <w:t xml:space="preserve"> </w:t>
            </w:r>
            <w:r>
              <w:rPr>
                <w:rStyle w:val="VerbatimChar"/>
              </w:rPr>
              <w:t xml:space="preserve">Lot.DieNumber NVARCHAR(50)</w:t>
            </w:r>
            <w:r>
              <w:t xml:space="preserve"> </w:t>
            </w:r>
            <w:r>
              <w:t xml:space="preserve">+</w:t>
            </w:r>
            <w:r>
              <w:t xml:space="preserve"> </w:t>
            </w:r>
            <w:r>
              <w:rPr>
                <w:rStyle w:val="VerbatimChar"/>
              </w:rPr>
              <w:t xml:space="preserve">Lot.CavityNumber NVARCHAR(50)</w:t>
            </w:r>
            <w:r>
              <w:t xml:space="preserve"> </w:t>
            </w:r>
            <w:r>
              <w:t xml:space="preserve">columns are now legacy — retained in this release for any future migration script that needs them during cutover, slated for removal in a follow-up migration once all writers use the new FKs.</w:t>
            </w:r>
            <w:r>
              <w:rPr>
                <w:b/>
                <w:bCs/>
              </w:rPr>
              <w:t xml:space="preserve">(2)</w:t>
            </w:r>
            <w:r>
              <w:rPr>
                <w:b/>
                <w:bCs/>
              </w:rPr>
              <w:t xml:space="preserve"> </w:t>
            </w:r>
            <w:r>
              <w:rPr>
                <w:rStyle w:val="VerbatimChar"/>
                <w:b/>
                <w:bCs/>
              </w:rPr>
              <w:t xml:space="preserve">Workorder.ProductionEvent</w:t>
            </w:r>
            <w:r>
              <w:rPr>
                <w:b/>
                <w:bCs/>
              </w:rPr>
              <w:t xml:space="preserve"> </w:t>
            </w:r>
            <w:r>
              <w:rPr>
                <w:b/>
                <w:bCs/>
              </w:rPr>
              <w:t xml:space="preserve">reshaped to checkpoint form.</w:t>
            </w:r>
            <w:r>
              <w:t xml:space="preserve"> </w:t>
            </w:r>
            <w:r>
              <w:t xml:space="preserve">Per FRS §2.1.2 operator-driven capture: operators visit terminals periodically (checkout from die cast, check-in to trim, complete + move, quality-operation transitions), not per-shot. Each checkpoint writes one event carrying cumulative counters; deltas derived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 Columns ADDed:</w:t>
            </w:r>
            <w:r>
              <w:t xml:space="preserve"> </w:t>
            </w:r>
            <w:r>
              <w:rPr>
                <w:rStyle w:val="VerbatimChar"/>
              </w:rPr>
              <w:t xml:space="preserve">ShotCount INT NULL</w:t>
            </w:r>
            <w:r>
              <w:t xml:space="preserve"> </w:t>
            </w:r>
            <w:r>
              <w:t xml:space="preserve">(cumulative at event time —</w:t>
            </w:r>
            <w:r>
              <w:t xml:space="preserve"> </w:t>
            </w:r>
            <w:r>
              <w:rPr>
                <w:b/>
                <w:bCs/>
              </w:rPr>
              <w:t xml:space="preserve">open item</w:t>
            </w:r>
            <w:r>
              <w:t xml:space="preserve"> </w:t>
            </w:r>
            <w:r>
              <w:t xml:space="preserve">OI-20/Decision 5: may migrate to derived-from-aggregated-LOT-quantity before Arc 2 Phase 3),</w:t>
            </w:r>
            <w:r>
              <w:t xml:space="preserve"> </w:t>
            </w:r>
            <w:r>
              <w:rPr>
                <w:rStyle w:val="VerbatimChar"/>
              </w:rPr>
              <w:t xml:space="preserve">ScrapCount INT NULL</w:t>
            </w:r>
            <w:r>
              <w:t xml:space="preserve"> </w:t>
            </w:r>
            <w:r>
              <w:t xml:space="preserve">(cumulative),</w:t>
            </w:r>
            <w:r>
              <w:t xml:space="preserve"> </w:t>
            </w:r>
            <w:r>
              <w:rPr>
                <w:rStyle w:val="VerbatimChar"/>
              </w:rPr>
              <w:t xml:space="preserve">EventAt DATETIME2(3)</w:t>
            </w:r>
            <w:r>
              <w:t xml:space="preserve"> </w:t>
            </w:r>
            <w:r>
              <w:t xml:space="preserve">(replaces</w:t>
            </w:r>
            <w:r>
              <w:t xml:space="preserve"> </w:t>
            </w:r>
            <w:r>
              <w:rPr>
                <w:rStyle w:val="VerbatimChar"/>
              </w:rPr>
              <w:t xml:space="preserve">RecordedAt</w:t>
            </w:r>
            <w:r>
              <w:t xml:space="preserve">),</w:t>
            </w:r>
            <w:r>
              <w:t xml:space="preserve"> </w:t>
            </w:r>
            <w:r>
              <w:rPr>
                <w:rStyle w:val="VerbatimChar"/>
              </w:rPr>
              <w:t xml:space="preserve">AppUserId</w:t>
            </w:r>
            <w:r>
              <w:t xml:space="preserve"> </w:t>
            </w:r>
            <w:r>
              <w:t xml:space="preserve">(replaces</w:t>
            </w:r>
            <w:r>
              <w:t xml:space="preserve"> </w:t>
            </w:r>
            <w:r>
              <w:rPr>
                <w:rStyle w:val="VerbatimChar"/>
              </w:rPr>
              <w:t xml:space="preserve">OperatorId</w:t>
            </w:r>
            <w:r>
              <w:t xml:space="preserve"> </w:t>
            </w:r>
            <w:r>
              <w:t xml:space="preserve">— align to initials-based model). Columns DROPPED:</w:t>
            </w:r>
            <w:r>
              <w:t xml:space="preserve"> </w:t>
            </w:r>
            <w:r>
              <w:rPr>
                <w:rStyle w:val="VerbatimChar"/>
              </w:rPr>
              <w:t xml:space="preserve">LocationId</w:t>
            </w:r>
            <w:r>
              <w:t xml:space="preserve"> </w:t>
            </w:r>
            <w:r>
              <w:t xml:space="preserve">(derivable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w:t>
            </w:r>
            <w:r>
              <w:t xml:space="preserve"> </w:t>
            </w:r>
            <w:r>
              <w:rPr>
                <w:rStyle w:val="VerbatimChar"/>
              </w:rPr>
              <w:t xml:space="preserve">DieIdentifier NVARCHAR(50)</w:t>
            </w:r>
            <w:r>
              <w:t xml:space="preserve"> </w:t>
            </w:r>
            <w:r>
              <w:t xml:space="preserve">+</w:t>
            </w:r>
            <w:r>
              <w:t xml:space="preserve"> </w:t>
            </w:r>
            <w:r>
              <w:rPr>
                <w:rStyle w:val="VerbatimChar"/>
              </w:rPr>
              <w:t xml:space="preserve">CavityNumber INT</w:t>
            </w:r>
            <w:r>
              <w:t xml:space="preserve"> </w:t>
            </w:r>
            <w:r>
              <w:t xml:space="preserve">(derivable from</w:t>
            </w:r>
            <w:r>
              <w:t xml:space="preserve"> </w:t>
            </w:r>
            <w:r>
              <w:rPr>
                <w:rStyle w:val="VerbatimChar"/>
              </w:rPr>
              <w:t xml:space="preserve">Lot.ToolId</w:t>
            </w:r>
            <w:r>
              <w:t xml:space="preserve">/</w:t>
            </w:r>
            <w:r>
              <w:rPr>
                <w:rStyle w:val="VerbatimChar"/>
              </w:rPr>
              <w:t xml:space="preserve">Lot.ToolCavityId</w:t>
            </w:r>
            <w:r>
              <w:t xml:space="preserve">),</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(replaced by</w:t>
            </w:r>
            <w:r>
              <w:t xml:space="preserve"> </w:t>
            </w:r>
            <w:r>
              <w:rPr>
                <w:rStyle w:val="VerbatimChar"/>
              </w:rPr>
              <w:t xml:space="preserve">ShotCount</w:t>
            </w:r>
            <w:r>
              <w:t xml:space="preserve"> </w:t>
            </w:r>
            <w:r>
              <w:t xml:space="preserve">cumulative with</w:t>
            </w:r>
            <w:r>
              <w:t xml:space="preserve"> </w:t>
            </w:r>
            <w:r>
              <w:rPr>
                <w:rStyle w:val="VerbatimChar"/>
              </w:rPr>
              <w:t xml:space="preserve">LAG()</w:t>
            </w:r>
            <w:r>
              <w:t xml:space="preserve">-derived delta — avoids compounding errors from missed events),</w:t>
            </w:r>
            <w:r>
              <w:t xml:space="preserve"> </w:t>
            </w:r>
            <w:r>
              <w:rPr>
                <w:rStyle w:val="VerbatimChar"/>
              </w:rPr>
              <w:t xml:space="preserve">ItemId</w:t>
            </w:r>
            <w:r>
              <w:t xml:space="preserve"> </w:t>
            </w:r>
            <w:r>
              <w:t xml:space="preserve">(derivable from</w:t>
            </w:r>
            <w:r>
              <w:t xml:space="preserve"> </w:t>
            </w:r>
            <w:r>
              <w:rPr>
                <w:rStyle w:val="VerbatimChar"/>
              </w:rPr>
              <w:t xml:space="preserve">Lot.ItemId</w:t>
            </w:r>
            <w:r>
              <w:t xml:space="preserve">). Required index</w:t>
            </w:r>
            <w:r>
              <w:t xml:space="preserve"> </w:t>
            </w:r>
            <w:r>
              <w:rPr>
                <w:rStyle w:val="VerbatimChar"/>
              </w:rPr>
              <w:t xml:space="preserve">(LotId, EventAt DESC)</w:t>
            </w:r>
            <w:r>
              <w:t xml:space="preserve">. Table is still deferred to Arc 2 Phase 1 CREATE — the column contract in §4 is authoritative.</w:t>
            </w:r>
            <w:r>
              <w:rPr>
                <w:b/>
                <w:bCs/>
              </w:rPr>
              <w:t xml:space="preserve">(3) New</w:t>
            </w:r>
            <w:r>
              <w:rPr>
                <w:b/>
                <w:bCs/>
              </w:rPr>
              <w:t xml:space="preserve"> </w:t>
            </w:r>
            <w:r>
              <w:rPr>
                <w:rStyle w:val="VerbatimChar"/>
                <w:b/>
                <w:bCs/>
              </w:rPr>
              <w:t xml:space="preserve">Lots.IdentifierSequence</w:t>
            </w:r>
            <w:r>
              <w:rPr>
                <w:b/>
                <w:bCs/>
              </w:rPr>
              <w:t xml:space="preserve"> </w:t>
            </w:r>
            <w:r>
              <w:rPr>
                <w:b/>
                <w:bCs/>
              </w:rPr>
              <w:t xml:space="preserve">table (OI-31).</w:t>
            </w:r>
            <w:r>
              <w:t xml:space="preserve"> </w:t>
            </w:r>
            <w:r>
              <w:t xml:space="preserve">Replaces Flexware’s</w:t>
            </w:r>
            <w:r>
              <w:t xml:space="preserve"> </w:t>
            </w:r>
            <w:r>
              <w:rPr>
                <w:rStyle w:val="VerbatimChar"/>
              </w:rPr>
              <w:t xml:space="preserve">IdentifierFormat</w:t>
            </w:r>
            <w:r>
              <w:t xml:space="preserve">. Columns:</w:t>
            </w:r>
            <w:r>
              <w:t xml:space="preserve"> </w:t>
            </w:r>
            <w:r>
              <w:rPr>
                <w:rStyle w:val="VerbatimChar"/>
              </w:rPr>
              <w:t xml:space="preserve">Id</w:t>
            </w:r>
            <w:r>
              <w:t xml:space="preserve">,</w:t>
            </w:r>
            <w:r>
              <w:t xml:space="preserve"> </w:t>
            </w:r>
            <w:r>
              <w:rPr>
                <w:rStyle w:val="VerbatimChar"/>
              </w:rPr>
              <w:t xml:space="preserve">Code NVARCHAR(30) UNIQUE</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FormatString NVARCHAR(50)</w:t>
            </w:r>
            <w:r>
              <w:t xml:space="preserve"> </w:t>
            </w:r>
            <w:r>
              <w:t xml:space="preserve">(.NET</w:t>
            </w:r>
            <w:r>
              <w:t xml:space="preserve"> </w:t>
            </w:r>
            <w:r>
              <w:rPr>
                <w:rStyle w:val="VerbatimChar"/>
              </w:rPr>
              <w:t xml:space="preserve">string.Format</w:t>
            </w:r>
            <w:r>
              <w:t xml:space="preserve">, e.g.,</w:t>
            </w:r>
            <w:r>
              <w:t xml:space="preserve"> </w:t>
            </w:r>
            <w:r>
              <w:rPr>
                <w:rStyle w:val="VerbatimChar"/>
              </w:rPr>
              <w:t xml:space="preserve">MESL{0:D7}</w:t>
            </w:r>
            <w:r>
              <w:t xml:space="preserve">),</w:t>
            </w:r>
            <w:r>
              <w:t xml:space="preserve"> </w:t>
            </w:r>
            <w:r>
              <w:rPr>
                <w:rStyle w:val="VerbatimChar"/>
              </w:rPr>
              <w:t xml:space="preserve">StartingValue BIGINT DEFAULT 1</w:t>
            </w:r>
            <w:r>
              <w:t xml:space="preserve">,</w:t>
            </w:r>
            <w:r>
              <w:t xml:space="preserve"> </w:t>
            </w:r>
            <w:r>
              <w:rPr>
                <w:rStyle w:val="VerbatimChar"/>
              </w:rPr>
              <w:t xml:space="preserve">EndingValue BIGINT DEFAULT 9999999</w:t>
            </w:r>
            <w:r>
              <w:t xml:space="preserve">,</w:t>
            </w:r>
            <w:r>
              <w:t xml:space="preserve"> </w:t>
            </w:r>
            <w:r>
              <w:rPr>
                <w:rStyle w:val="VerbatimChar"/>
              </w:rPr>
              <w:t xml:space="preserve">LastValue BIGINT DEFAULT 0</w:t>
            </w:r>
            <w:r>
              <w:t xml:space="preserve">,</w:t>
            </w:r>
            <w:r>
              <w:t xml:space="preserve"> </w:t>
            </w:r>
            <w:r>
              <w:rPr>
                <w:rStyle w:val="VerbatimChar"/>
              </w:rPr>
              <w:t xml:space="preserve">ResetIntervalMinutes INT NULL</w:t>
            </w:r>
            <w:r>
              <w:t xml:space="preserve">,</w:t>
            </w:r>
            <w:r>
              <w:t xml:space="preserve"> </w:t>
            </w:r>
            <w:r>
              <w:rPr>
                <w:rStyle w:val="VerbatimChar"/>
              </w:rPr>
              <w:t xml:space="preserve">LastResetAt DATETIME2(3) NULL</w:t>
            </w:r>
            <w:r>
              <w:t xml:space="preserve">,</w:t>
            </w:r>
            <w:r>
              <w:t xml:space="preserve"> </w:t>
            </w:r>
            <w:r>
              <w:rPr>
                <w:rStyle w:val="VerbatimChar"/>
              </w:rPr>
              <w:t xml:space="preserve">UpdatedAt DATETIME2(3)</w:t>
            </w:r>
            <w:r>
              <w:t xml:space="preserve">. 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via the</w:t>
            </w:r>
            <w:r>
              <w:t xml:space="preserve"> </w:t>
            </w:r>
            <w:r>
              <w:rPr>
                <w:rStyle w:val="VerbatimChar"/>
              </w:rPr>
              <w:t xml:space="preserve">.NET</w:t>
            </w:r>
            <w:r>
              <w:t xml:space="preserve">-style string, raises on rollover. Seeded at cutover with</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 actual</w:t>
            </w:r>
            <w:r>
              <w:t xml:space="preserve"> </w:t>
            </w:r>
            <w:r>
              <w:rPr>
                <w:rStyle w:val="VerbatimChar"/>
              </w:rPr>
              <w:t xml:space="preserve">LastValue</w:t>
            </w:r>
            <w:r>
              <w:t xml:space="preserve"> </w:t>
            </w:r>
            <w:r>
              <w:t xml:space="preserve">sampled from Flexware on cutover day. Lands in Arc 2 Phase 1 migration.</w:t>
            </w:r>
            <w:r>
              <w:rPr>
                <w:b/>
                <w:bCs/>
              </w:rPr>
              <w:t xml:space="preserve">(4)</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No schema change — the column stays</w:t>
            </w:r>
            <w:r>
              <w:t xml:space="preserve"> </w:t>
            </w:r>
            <w:r>
              <w:rPr>
                <w:rStyle w:val="VerbatimChar"/>
              </w:rPr>
              <w:t xml:space="preserve">INT NULL</w:t>
            </w:r>
            <w:r>
              <w:t xml:space="preserve">. In this doc and the Config Tool Item screen the label/caption becomes</w:t>
            </w:r>
            <w:r>
              <w:t xml:space="preserve"> </w:t>
            </w:r>
            <w:r>
              <w:rPr>
                <w:rStyle w:val="VerbatimChar"/>
                <w:b/>
                <w:bCs/>
              </w:rPr>
              <w:t xml:space="preserve">PartsPerBasket</w:t>
            </w:r>
            <w:r>
              <w:t xml:space="preserve">: one LOT = one basket = one LTT label, so</w:t>
            </w:r>
            <w:r>
              <w:t xml:space="preserve"> </w:t>
            </w:r>
            <w:r>
              <w:t xml:space="preserve">“max parts per LOT”</w:t>
            </w:r>
            <w:r>
              <w:t xml:space="preserve"> </w:t>
            </w:r>
            <w:r>
              <w:t xml:space="preserve">IS</w:t>
            </w:r>
            <w:r>
              <w:t xml:space="preserve"> </w:t>
            </w:r>
            <w:r>
              <w:t xml:space="preserve">“basket capacity”</w:t>
            </w:r>
            <w:r>
              <w:t xml:space="preserve"> </w:t>
            </w:r>
            <w:r>
              <w:t xml:space="preserve">by definition. Basket (Item-level capacity) is distinct from Container (</w:t>
            </w:r>
            <w:r>
              <w:rPr>
                <w:rStyle w:val="VerbatimChar"/>
              </w:rPr>
              <w:t xml:space="preserve">Parts.ContainerConfig</w:t>
            </w:r>
            <w:r>
              <w:t xml:space="preserve"> </w:t>
            </w:r>
            <w:r>
              <w:t xml:space="preserve">with tray math for shipping — unchanged). Formal column rename deferred to a later migration.</w:t>
            </w:r>
            <w:r>
              <w:rPr>
                <w:b/>
                <w:bCs/>
              </w:rPr>
              <w:t xml:space="preserve">Other v1.9 notes:</w:t>
            </w:r>
            <w:r>
              <w:t xml:space="preserve"> </w:t>
            </w:r>
            <w:r>
              <w:rPr>
                <w:rStyle w:val="VerbatimChar"/>
              </w:rPr>
              <w:t xml:space="preserve">Tools.ToolAssignment</w:t>
            </w:r>
            <w:r>
              <w:t xml:space="preserve"> </w:t>
            </w:r>
            <w:r>
              <w:t xml:space="preserve">has</w:t>
            </w:r>
            <w:r>
              <w:t xml:space="preserve"> </w:t>
            </w:r>
            <w:r>
              <w:rPr>
                <w:b/>
                <w:bCs/>
              </w:rPr>
              <w:t xml:space="preserve">two</w:t>
            </w:r>
            <w:r>
              <w:t xml:space="preserve"> </w:t>
            </w:r>
            <w:r>
              <w:t xml:space="preserve">filtered unique indexes today (</w:t>
            </w:r>
            <w:r>
              <w:rPr>
                <w:rStyle w:val="VerbatimChar"/>
              </w:rPr>
              <w:t xml:space="preserve">UQ_ToolAssignment_ActiveTool</w:t>
            </w:r>
            <w:r>
              <w:t xml:space="preserve"> </w:t>
            </w:r>
            <w:r>
              <w:t xml:space="preserve">on</w:t>
            </w:r>
            <w:r>
              <w:t xml:space="preserve"> </w:t>
            </w:r>
            <w:r>
              <w:rPr>
                <w:rStyle w:val="VerbatimChar"/>
              </w:rPr>
              <w:t xml:space="preserve">ToolId</w:t>
            </w:r>
            <w:r>
              <w:t xml:space="preserve">,</w:t>
            </w:r>
            <w:r>
              <w:t xml:space="preserve"> </w:t>
            </w:r>
            <w:r>
              <w:rPr>
                <w:rStyle w:val="VerbatimChar"/>
              </w:rPr>
              <w:t xml:space="preserve">UQ_ToolAssignment_ActiveCell</w:t>
            </w:r>
            <w:r>
              <w:t xml:space="preserve"> </w:t>
            </w:r>
            <w:r>
              <w:t xml:space="preserve">on</w:t>
            </w:r>
            <w:r>
              <w:t xml:space="preserve"> </w:t>
            </w:r>
            <w:r>
              <w:rPr>
                <w:rStyle w:val="VerbatimChar"/>
              </w:rPr>
              <w:t xml:space="preserve">CellLocationId</w:t>
            </w:r>
            <w:r>
              <w:t xml:space="preserve">). The Cell UNIQUE is correct for Die Cast (one mounted die per cell) but wrong for Machining / Trim / Assembly where multiple Tools coexist on a cell. Documented as a known limitation to resolve when non-Die Tool types go live post-MVP (scope the UNIQUE to</w:t>
            </w:r>
            <w:r>
              <w:t xml:space="preserve"> </w:t>
            </w:r>
            <w:r>
              <w:rPr>
                <w:rStyle w:val="VerbatimChar"/>
              </w:rPr>
              <w:t xml:space="preserve">ToolType=Die</w:t>
            </w:r>
            <w:r>
              <w:t xml:space="preserve"> </w:t>
            </w:r>
            <w:r>
              <w:t xml:space="preserve">or drop it). Source:</w:t>
            </w:r>
            <w:r>
              <w:t xml:space="preserve"> </w:t>
            </w:r>
            <w:r>
              <w:rPr>
                <w:rStyle w:val="VerbatimChar"/>
              </w:rPr>
              <w:t xml:space="preserve">docs/superpowers/specs/2026-04-23-arc2-model-revisions.md</w:t>
            </w:r>
            <w:r>
              <w:t xml:space="preserve">.</w:t>
            </w:r>
          </w:p>
        </w:tc>
      </w:tr>
      <w:tr>
        <w:tc>
          <w:tcPr>
            <w:shd w:val="clear" w:color="auto" w:fill="F2F2F2"/>
          </w:tcPr>
          <w:tcPr/>
          <w:p>
            <w:pPr>
              <w:pStyle w:val="Compact"/>
            </w:pPr>
            <w:r>
              <w:t xml:space="preserve">1.8-rev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p>
            <w:pPr>
              <w:pStyle w:val="Compact"/>
            </w:pPr>
            <w:r>
              <w:t xml:space="preserve">1.7</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shd w:val="clear" w:color="auto" w:fill="F2F2F2"/>
          </w:tcPr>
          <w:tcPr/>
          <w:p>
            <w:pPr>
              <w:pStyle w:val="Compact"/>
            </w:pPr>
            <w:r>
              <w:t xml:space="preserve">1.6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p>
            <w:pPr>
              <w:pStyle w:val="Compact"/>
            </w:pPr>
            <w:r>
              <w:t xml:space="preserve">1.5</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shd w:val="clear" w:color="auto" w:fill="F2F2F2"/>
          </w:tcPr>
          <w:tcPr/>
          <w:p>
            <w:pPr>
              <w:pStyle w:val="Compact"/>
            </w:pPr>
            <w:r>
              <w:t xml:space="preserve">1.4</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p>
            <w:pPr>
              <w:pStyle w:val="Compact"/>
            </w:pPr>
            <w:r>
              <w:t xml:space="preserve">1.3</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shd w:val="clear" w:color="auto" w:fill="F2F2F2"/>
          </w:tcPr>
          <w:tcPr/>
          <w:p>
            <w:pPr>
              <w:pStyle w:val="Compact"/>
            </w:pPr>
            <w:r>
              <w:t xml:space="preserve">1.2</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p>
            <w:pPr>
              <w:pStyle w:val="Compact"/>
            </w:pPr>
            <w:r>
              <w:t xml:space="preserve">1.0</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shd w:val="clear" w:color="auto" w:fill="F2F2F2"/>
          </w:tcPr>
          <w:tcPr/>
          <w:p>
            <w:pPr>
              <w:pStyle w:val="Compact"/>
            </w:pPr>
            <w:r>
              <w:t xml:space="preserve">0.9</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p>
            <w:pPr>
              <w:pStyle w:val="Compact"/>
            </w:pPr>
            <w:r>
              <w:t xml:space="preserve">0.8</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shd w:val="clear" w:color="auto" w:fill="F2F2F2"/>
          </w:tcPr>
          <w:tcPr/>
          <w:p>
            <w:pPr>
              <w:pStyle w:val="Compact"/>
            </w:pPr>
            <w:r>
              <w:t xml:space="preserve">0.7</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All enum and status values are code-table backed with FK — no free-text enums, no magic integers</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1"/>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NumberOfCavities</w:t>
      </w:r>
      <w:r>
        <w:t xml:space="preserve">,</w:t>
      </w:r>
      <w:r>
        <w:t xml:space="preserve"> </w:t>
      </w:r>
      <w:r>
        <w:rPr>
          <w:rStyle w:val="VerbatimChar"/>
        </w:rPr>
        <w:t xml:space="preserve">RefCycleTimeSec</w:t>
      </w:r>
      <w:r>
        <w:t xml:space="preserve">. Different definitions carry different attribute sets.</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w:t>
            </w:r>
            <w:r>
              <w:t xml:space="preserve"> </w:t>
            </w:r>
            <w:r>
              <w:rPr>
                <w:b/>
                <w:bCs/>
              </w:rPr>
              <w:t xml:space="preserve">all Items</w:t>
            </w:r>
            <w:r>
              <w:t xml:space="preserve">, all open LOTs at this Location). Scan-in mutation rejects when cumulative lineside quantity would exceed this. Added v1.8 (OI-12). Complements</w:t>
            </w:r>
            <w:r>
              <w:t xml:space="preserve"> </w:t>
            </w:r>
            <w:r>
              <w:rPr>
                <w:rStyle w:val="VerbatimChar"/>
              </w:rPr>
              <w:t xml:space="preserve">Parts.Item.MaxParts</w:t>
            </w:r>
            <w:r>
              <w:t xml:space="preserve"> </w:t>
            </w:r>
            <w:r>
              <w:t xml:space="preserve">—</w:t>
            </w:r>
            <w:r>
              <w:t xml:space="preserve"> </w:t>
            </w:r>
            <w:r>
              <w:rPr>
                <w:rStyle w:val="VerbatimChar"/>
              </w:rPr>
              <w:t xml:space="preserve">MaxParts</w:t>
            </w:r>
            <w:r>
              <w:t xml:space="preserve"> </w:t>
            </w:r>
            <w:r>
              <w:t xml:space="preserve">is Item-scoped (cap on one Item at one Location);</w:t>
            </w:r>
            <w:r>
              <w:t xml:space="preserve"> </w:t>
            </w:r>
            <w:r>
              <w:rPr>
                <w:rStyle w:val="VerbatimChar"/>
              </w:rPr>
              <w:t xml:space="preserve">LinesideLimit</w:t>
            </w:r>
            <w:r>
              <w:t xml:space="preserve"> </w:t>
            </w:r>
            <w:r>
              <w:t xml:space="preserve">is Location-scoped (cap across everything at that Location).</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w:t>
      </w:r>
      <w:r>
        <w:t xml:space="preserve"> </w:t>
      </w:r>
      <w:r>
        <w:t xml:space="preserve">Terminals are shared, not 1:1 with machines. Operators scan a machine barcode/QR code as the first step of any interaction.</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bookmarkEnd w:id="17"/>
    <w:bookmarkStart w:id="18" w:name="appuser"/>
    <w:p>
      <w:pPr>
        <w:pStyle w:val="Heading3"/>
      </w:pPr>
      <w:r>
        <w:t xml:space="preserve">AppUser</w:t>
      </w:r>
    </w:p>
    <w:p>
      <w:pPr>
        <w:pStyle w:val="FirstParagraph"/>
      </w:pPr>
      <w:r>
        <w:t xml:space="preserve">MES users in two classes (FDS §4):</w:t>
      </w:r>
    </w:p>
    <w:p>
      <w:pPr>
        <w:pStyle w:val="Compact"/>
        <w:numPr>
          <w:ilvl w:val="0"/>
          <w:numId w:val="1003"/>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initials entered at a terminal; no authentication. Managed via the Configuration Tool Admin screen.</w:t>
      </w:r>
    </w:p>
    <w:p>
      <w:pPr>
        <w:pStyle w:val="Compact"/>
        <w:numPr>
          <w:ilvl w:val="0"/>
          <w:numId w:val="1003"/>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w:t>
      </w:r>
    </w:p>
    <w:p>
      <w:pPr>
        <w:pStyle w:val="FirstParagraph"/>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w:t>
            </w:r>
          </w:p>
        </w:tc>
      </w:tr>
      <w:tr>
        <w:tc>
          <w:tcPr/>
          <w:p>
            <w:pPr>
              <w:pStyle w:val="Compact"/>
            </w:pPr>
            <w:r>
              <w:t xml:space="preserve">AdAccount</w:t>
            </w:r>
          </w:p>
        </w:tc>
        <w:tc>
          <w:tcPr/>
          <w:p>
            <w:pPr>
              <w:pStyle w:val="Compact"/>
            </w:pPr>
            <w:r>
              <w:t xml:space="preserve">NVARCHAR(100)</w:t>
            </w:r>
          </w:p>
        </w:tc>
        <w:tc>
          <w:tcPr/>
          <w:p>
            <w:pPr>
              <w:pStyle w:val="Compact"/>
            </w:pPr>
            <w:r>
              <w:t xml:space="preserve">NULL, filtered UNIQUE where NOT NULL</w:t>
            </w:r>
          </w:p>
        </w:tc>
        <w:tc>
          <w:tcPr/>
          <w:p>
            <w:pPr>
              <w:pStyle w:val="Compact"/>
            </w:pPr>
            <w:r>
              <w:t xml:space="preserve">Active Directory identity. NULL for Operator class, NOT NULL for Interactive Users.</w:t>
            </w:r>
          </w:p>
        </w:tc>
      </w:tr>
      <w:tr>
        <w:tc>
          <w:tcPr>
            <w:shd w:val="clear" w:color="auto" w:fill="F2F2F2"/>
          </w:tcPr>
          <w:tcPr/>
          <w:p>
            <w:pPr>
              <w:pStyle w:val="Compact"/>
            </w:pPr>
            <w:r>
              <w:t xml:space="preserve">DisplayName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IgnitionRole</w:t>
            </w:r>
          </w:p>
        </w:tc>
        <w:tc>
          <w:tcPr/>
          <w:p>
            <w:pPr>
              <w:pStyle w:val="Compact"/>
            </w:pPr>
            <w:r>
              <w:t xml:space="preserve">NVARCHAR(100)</w:t>
            </w:r>
          </w:p>
        </w:tc>
        <w:tc>
          <w:tcPr/>
          <w:p>
            <w:pPr>
              <w:pStyle w:val="Compact"/>
            </w:pPr>
            <w:r>
              <w:t xml:space="preserve">NULL</w:t>
            </w:r>
          </w:p>
        </w:tc>
        <w:tc>
          <w:tcPr/>
          <w:p>
            <w:pPr>
              <w:pStyle w:val="Compact"/>
            </w:pPr>
            <w:r>
              <w:t xml:space="preserve">NULL for Operator class. References Ignition’s internal role config for Interactive Users.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Check constraint:</w:t>
      </w:r>
      <w:r>
        <w:t xml:space="preserve"> </w:t>
      </w:r>
      <w:r>
        <w:rPr>
          <w:rStyle w:val="VerbatimChar"/>
        </w:rPr>
        <w:t xml:space="preserve">IgnitionRole IS NULL OR AdAccount IS NOT NULL</w:t>
      </w:r>
      <w:r>
        <w:t xml:space="preserve"> </w:t>
      </w:r>
      <w:r>
        <w:t xml:space="preserve">— an Operator (no AD) cannot carry an Ignition role; roles apply only to AD-backed users.</w:t>
      </w:r>
    </w:p>
    <w:p>
      <w:pPr>
        <w:pStyle w:val="BodyText"/>
      </w:pPr>
      <w:r>
        <w:rPr>
          <w:b/>
          <w:bCs/>
        </w:rPr>
        <w:t xml:space="preserve">Legacy columns to be removed in the Phase G Tool &amp; Security migration</w:t>
      </w:r>
      <w:r>
        <w:t xml:space="preserve"> </w:t>
      </w:r>
      <w:r>
        <w:t xml:space="preserve">(Phase G of the 2026-04-20 OI review refactor):</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are no longer used by the design. They remain in the live schema from Phases 1–8 and will be dropped alongside the related procs (</w:t>
      </w:r>
      <w:r>
        <w:rPr>
          <w:rStyle w:val="VerbatimChar"/>
        </w:rPr>
        <w:t xml:space="preserve">AppUser_SetPin</w:t>
      </w:r>
      <w:r>
        <w:t xml:space="preserve">,</w:t>
      </w:r>
      <w:r>
        <w:t xml:space="preserve"> </w:t>
      </w:r>
      <w:r>
        <w:rPr>
          <w:rStyle w:val="VerbatimChar"/>
        </w:rPr>
        <w:t xml:space="preserve">AppUser_GetByClockNumber</w:t>
      </w:r>
      <w:r>
        <w:t xml:space="preserve">) when Phase G runs.</w:t>
      </w:r>
    </w:p>
    <w:p>
      <w:r>
        <w:pict>
          <v:rect style="width:0;height:1.5pt" o:hralign="center" o:hrstd="t" o:hr="t"/>
        </w:pict>
      </w:r>
    </w:p>
    <w:bookmarkEnd w:id="18"/>
    <w:bookmarkEnd w:id="19"/>
    <w:bookmarkStart w:id="34"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 (Machining — unchanged)</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rPr>
                <w:b/>
                <w:bCs/>
              </w:rPr>
              <w:t xml:space="preserve">Repurposed v1.9 as</w:t>
            </w:r>
            <w:r>
              <w:rPr>
                <w:b/>
                <w:bCs/>
              </w:rPr>
              <w:t xml:space="preserve"> </w:t>
            </w:r>
            <w:r>
              <w:rPr>
                <w:rStyle w:val="VerbatimChar"/>
                <w:b/>
                <w:bCs/>
              </w:rPr>
              <w:t xml:space="preserve">PartsPerBasket</w:t>
            </w:r>
            <w:r>
              <w:rPr>
                <w:b/>
                <w:bCs/>
              </w:rPr>
              <w:t xml:space="preserve">.</w:t>
            </w:r>
            <w:r>
              <w:t xml:space="preserve"> </w:t>
            </w:r>
            <w:r>
              <w:t xml:space="preserve">One LOT = one basket = one LTT label at Die Cast / Trim / intermediate Machining, so</w:t>
            </w:r>
            <w:r>
              <w:t xml:space="preserve"> </w:t>
            </w:r>
            <w:r>
              <w:t xml:space="preserve">“max parts per LOT”</w:t>
            </w:r>
            <w:r>
              <w:t xml:space="preserve"> </w:t>
            </w:r>
            <w:r>
              <w:t xml:space="preserve">IS basket capacity. Config Tool Item screen labels this field</w:t>
            </w:r>
            <w:r>
              <w:t xml:space="preserve"> </w:t>
            </w:r>
            <w:r>
              <w:rPr>
                <w:rStyle w:val="VerbatimChar"/>
              </w:rPr>
              <w:t xml:space="preserve">PartsPerBasket</w:t>
            </w:r>
            <w:r>
              <w:t xml:space="preserve">. Distinct from</w:t>
            </w:r>
            <w:r>
              <w:t xml:space="preserve"> </w:t>
            </w:r>
            <w:r>
              <w:rPr>
                <w:rStyle w:val="VerbatimChar"/>
              </w:rPr>
              <w:t xml:space="preserve">MaxParts</w:t>
            </w:r>
            <w:r>
              <w:t xml:space="preserve"> </w:t>
            </w:r>
            <w:r>
              <w:t xml:space="preserve">(see next row). Formal column rename deferred.</w:t>
            </w:r>
          </w:p>
        </w:tc>
      </w:tr>
      <w:tr>
        <w:tc>
          <w:tcPr>
            <w:shd w:val="clear" w:color="auto" w:fill="F2F2F2"/>
          </w:tcPr>
          <w:tcPr/>
          <w:p>
            <w:pPr>
              <w:pStyle w:val="Compact"/>
            </w:pPr>
            <w:r>
              <w:t xml:space="preserve">MaxParts</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v1.9c (OI-12 correction).</w:t>
            </w:r>
            <w:r>
              <w:t xml:space="preserve"> </w:t>
            </w:r>
            <w:r>
              <w:t xml:space="preserve">Hard cap on pieces of this Item allowed at any single Location (e.g.,</w:t>
            </w:r>
            <w:r>
              <w:t xml:space="preserve"> </w:t>
            </w:r>
            <w:r>
              <w:t xml:space="preserve">“no more than 500 5G0 parts at any one Cell”</w:t>
            </w:r>
            <w:r>
              <w:t xml:space="preserve">). Scan-in mutation (LotMovement to a Cell) sums existing pieces of this Item already present at the destination Location across all open LOTs + incoming quantity; rejects if result &gt;</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(LocationAttribute on Cell — per-Location aggregate cap across</w:t>
            </w:r>
            <w:r>
              <w:t xml:space="preserve"> </w:t>
            </w:r>
            <w:r>
              <w:rPr>
                <w:b/>
                <w:bCs/>
              </w:rPr>
              <w:t xml:space="preserve">all</w:t>
            </w:r>
            <w:r>
              <w:t xml:space="preserve"> </w:t>
            </w:r>
            <w:r>
              <w:t xml:space="preserve">Items). Stops operators from over-scanning to avoid re-scan friction.</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r>
              <w:t xml:space="preserve">Counting UOM</w:t>
            </w:r>
          </w:p>
        </w:tc>
      </w:tr>
      <w:tr>
        <w:tc>
          <w:tcPr>
            <w:shd w:val="clear" w:color="auto" w:fill="F2F2F2"/>
          </w:tcPr>
          <w:tcPr/>
          <w:p>
            <w:pPr>
              <w:pStyle w:val="Compact"/>
            </w:pPr>
            <w:r>
              <w:t xml:space="preserve">UnitWeight</w:t>
            </w:r>
          </w:p>
        </w:tc>
        <w:tc>
          <w:tcPr>
            <w:shd w:val="clear" w:color="auto" w:fill="F2F2F2"/>
          </w:tcPr>
          <w:tcPr/>
          <w:p>
            <w:pPr>
              <w:pStyle w:val="Compact"/>
            </w:pPr>
            <w:r>
              <w:t xml:space="preserve">DECIMAL(10,4)</w:t>
            </w:r>
          </w:p>
        </w:tc>
        <w:tc>
          <w:tcPr>
            <w:shd w:val="clear" w:color="auto" w:fill="F2F2F2"/>
          </w:tcPr>
          <w:tcPr/>
          <w:p>
            <w:pPr>
              <w:pStyle w:val="Compact"/>
            </w:pPr>
            <w:r>
              <w:t xml:space="preserve">NULL</w:t>
            </w:r>
          </w:p>
        </w:tc>
        <w:tc>
          <w:tcPr>
            <w:shd w:val="clear" w:color="auto" w:fill="F2F2F2"/>
          </w:tcPr>
          <w:tcPr/>
          <w:p>
            <w:pPr>
              <w:pStyle w:val="Compact"/>
            </w:pPr>
            <w:r>
              <w:t xml:space="preserve">Weight per piece</w:t>
            </w: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r>
              <w:t xml:space="preserve">Weight UOM</w:t>
            </w:r>
          </w:p>
        </w:tc>
      </w:tr>
      <w:tr>
        <w:tc>
          <w:tcPr>
            <w:shd w:val="clear" w:color="auto" w:fill="F2F2F2"/>
          </w:tcPr>
          <w:tcPr/>
          <w:p>
            <w:pPr>
              <w:pStyle w:val="Compact"/>
            </w:pPr>
            <w:r>
              <w:t xml:space="preserve">CountryOfOrigin</w:t>
            </w:r>
          </w:p>
        </w:tc>
        <w:tc>
          <w:tcPr>
            <w:shd w:val="clear" w:color="auto" w:fill="F2F2F2"/>
          </w:tcPr>
          <w:tcPr/>
          <w:p>
            <w:pPr>
              <w:pStyle w:val="Compact"/>
            </w:pPr>
            <w:r>
              <w:t xml:space="preserve">NVARCHAR(2)</w:t>
            </w:r>
          </w:p>
        </w:tc>
        <w:tc>
          <w:tcPr>
            <w:shd w:val="clear" w:color="auto" w:fill="F2F2F2"/>
          </w:tcPr>
          <w:tcPr/>
          <w:p>
            <w:pPr>
              <w:pStyle w:val="Compact"/>
            </w:pPr>
            <w:r>
              <w:t xml:space="preserve">NULL</w:t>
            </w:r>
          </w:p>
        </w:tc>
        <w:tc>
          <w:tcPr>
            <w:shd w:val="clear" w:color="auto" w:fill="F2F2F2"/>
          </w:tcPr>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2"/>
    <w:bookmarkStart w:id="23"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AreaLocationId</w:t>
            </w:r>
          </w:p>
        </w:tc>
        <w:tc>
          <w:tcPr/>
          <w:p>
            <w:pPr>
              <w:pStyle w:val="Compact"/>
            </w:pPr>
            <w:r>
              <w:t xml:space="preserve">BIGINT</w:t>
            </w:r>
          </w:p>
        </w:tc>
        <w:tc>
          <w:tcPr/>
          <w:p>
            <w:pPr>
              <w:pStyle w:val="Compact"/>
            </w:pPr>
            <w:r>
              <w:t xml:space="preserve">FK → Location.Id, NOT NULL</w:t>
            </w:r>
          </w:p>
        </w:tc>
        <w:tc>
          <w:tcPr/>
          <w:p>
            <w:pPr>
              <w:pStyle w:val="Compact"/>
            </w:pPr>
            <w:r>
              <w:t xml:space="preserve">Area (ISA-95 Area, organizational grouping)</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itemlocation"/>
    <w:p>
      <w:pPr>
        <w:pStyle w:val="Heading3"/>
      </w:pPr>
      <w:r>
        <w:t xml:space="preserve">ItemLocation</w:t>
      </w:r>
    </w:p>
    <w:p>
      <w:pPr>
        <w:pStyle w:val="FirstParagraph"/>
      </w:pPr>
      <w:r>
        <w:t xml:space="preserve">Part-to-location eligibility (which parts can run on which machines)</w:t>
      </w:r>
      <w:r>
        <w:t xml:space="preserve"> </w:t>
      </w:r>
      <w:r>
        <w:rPr>
          <w:b/>
          <w:bCs/>
        </w:rPr>
        <w:t xml:space="preserve">plus consumption metadata</w:t>
      </w:r>
      <w:r>
        <w:t xml:space="preserve"> </w:t>
      </w:r>
      <w:r>
        <w:t xml:space="preserve">for runtime Allocations (added v1.8, OI-18).</w:t>
      </w:r>
    </w:p>
    <w:p>
      <w:pPr>
        <w:pStyle w:val="BodyText"/>
      </w:pPr>
      <w:r>
        <w:t xml:space="preserve">v1.8 extends this junction with 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at the workstation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Output cells (produce-at) carry</w:t>
      </w:r>
      <w:r>
        <w:t xml:space="preserve"> </w:t>
      </w:r>
      <w:r>
        <w:rPr>
          <w:rStyle w:val="VerbatimChar"/>
        </w:rPr>
        <w:t xml:space="preserve">IsConsumptionPoint = 0</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Machine or work cell</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t xml:space="preserve">Maximum pieces per scan-in — rejects over-scan. Added v1.8 (OI-18).</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0"/>
    <w:bookmarkStart w:id="31"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ClosureMethod</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rPr>
                <w:rStyle w:val="VerbatimChar"/>
              </w:rPr>
              <w:t xml:space="preserve">BY_COUNT</w:t>
            </w:r>
            <w:r>
              <w:t xml:space="preserve"> </w:t>
            </w:r>
            <w:r>
              <w:t xml:space="preserve">or</w:t>
            </w:r>
            <w:r>
              <w:t xml:space="preserve"> </w:t>
            </w:r>
            <w:r>
              <w:rPr>
                <w:rStyle w:val="VerbatimChar"/>
              </w:rPr>
              <w:t xml:space="preserve">BY_WEIGHT</w:t>
            </w:r>
            <w:r>
              <w:t xml:space="preserve">. Added in Phase 4 pending OI-02 closure.</w:t>
            </w:r>
          </w:p>
        </w:tc>
      </w:tr>
      <w:tr>
        <w:tc>
          <w:tcPr/>
          <w:p>
            <w:pPr>
              <w:pStyle w:val="Compact"/>
            </w:pPr>
            <w:r>
              <w:t xml:space="preserve">TargetWeight</w:t>
            </w:r>
          </w:p>
        </w:tc>
        <w:tc>
          <w:tcPr/>
          <w:p>
            <w:pPr>
              <w:pStyle w:val="Compact"/>
            </w:pPr>
            <w:r>
              <w:t xml:space="preserve">DECIMAL(10,4)</w:t>
            </w:r>
          </w:p>
        </w:tc>
        <w:tc>
          <w:tcPr/>
          <w:p>
            <w:pPr>
              <w:pStyle w:val="Compact"/>
            </w:pPr>
            <w:r>
              <w:t xml:space="preserve">NULL</w:t>
            </w:r>
          </w:p>
        </w:tc>
        <w:tc>
          <w:tcPr/>
          <w:p>
            <w:pPr>
              <w:pStyle w:val="Compact"/>
            </w:pPr>
            <w:r>
              <w:t xml:space="preserve">Target weight for BY_WEIGHT closure. Added in Phase 4 pending OI-02 closure.</w:t>
            </w:r>
          </w:p>
        </w:tc>
      </w:tr>
      <w:tr>
        <w:tc>
          <w:tcPr>
            <w:shd w:val="clear" w:color="auto" w:fill="F2F2F2"/>
          </w:tcPr>
          <w:tcPr/>
          <w:p>
            <w:pPr>
              <w:pStyle w:val="Compact"/>
            </w:pPr>
            <w:r>
              <w:t xml:space="preserve">DunnageCode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NVARCHAR(50)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1"/>
    <w:bookmarkStart w:id="32" w:name="Xa23e193ffd3b16e17bb30c0d98b27fecf839dc2"/>
    <w:p>
      <w:pPr>
        <w:pStyle w:val="Heading3"/>
      </w:pPr>
      <w:r>
        <w:t xml:space="preserve">✅ Resolved (v1.8 rev): Casting → Trim Part Identity Change → 1-line BOM</w:t>
      </w:r>
    </w:p>
    <w:p>
      <w:pPr>
        <w:pStyle w:val="BlockText"/>
      </w:pPr>
      <w:r>
        <w:rPr>
          <w:b/>
          <w:bCs/>
        </w:rPr>
        <w:t xml:space="preserve">OI-11 resolution (2026-04-22):</w:t>
      </w:r>
      <w:r>
        <w:t xml:space="preserve"> </w:t>
      </w:r>
      <w:r>
        <w:t xml:space="preserve">An earlier v1.8 draft added a dedicated</w:t>
      </w:r>
      <w:r>
        <w:t xml:space="preserve"> </w:t>
      </w:r>
      <w:r>
        <w:rPr>
          <w:rStyle w:val="VerbatimChar"/>
        </w:rPr>
        <w:t xml:space="preserve">Parts.ItemTransform</w:t>
      </w:r>
      <w:r>
        <w:t xml:space="preserve"> </w:t>
      </w:r>
      <w:r>
        <w:t xml:space="preserve">table to bridge the Casting → Trim part-identity change. On review it was redundant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OperatorId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cast piece becomes one trim piece) is just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5G0-CAST-4102</w:t>
      </w:r>
      <w:r>
        <w:t xml:space="preserve"> </w:t>
      </w:r>
      <w:r>
        <w:t xml:space="preserve">on the trim part.</w:t>
      </w:r>
    </w:p>
    <w:p>
      <w:pPr>
        <w:pStyle w:val="BlockText"/>
      </w:pPr>
      <w:r>
        <w:rPr>
          <w:b/>
          <w:bCs/>
        </w:rPr>
        <w:t xml:space="preserve">Modelled as:</w:t>
      </w:r>
    </w:p>
    <w:p>
      <w:pPr>
        <w:pStyle w:val="Compact"/>
        <w:numPr>
          <w:ilvl w:val="0"/>
          <w:numId w:val="1004"/>
        </w:numPr>
      </w:pPr>
      <w:r>
        <w:rPr>
          <w:rStyle w:val="VerbatimChar"/>
        </w:rPr>
        <w:t xml:space="preserve">Parts.Item</w:t>
      </w:r>
      <w:r>
        <w:t xml:space="preserve"> </w:t>
      </w:r>
      <w:r>
        <w:t xml:space="preserve">has two rows for the same physical part:</w:t>
      </w:r>
      <w:r>
        <w:t xml:space="preserve"> </w:t>
      </w:r>
      <w:r>
        <w:rPr>
          <w:rStyle w:val="VerbatimChar"/>
        </w:rPr>
        <w:t xml:space="preserve">5G0-CAST-4102</w:t>
      </w:r>
      <w:r>
        <w:t xml:space="preserve"> </w:t>
      </w:r>
      <w:r>
        <w:t xml:space="preserve">(Component) and</w:t>
      </w:r>
      <w:r>
        <w:t xml:space="preserve"> </w:t>
      </w:r>
      <w:r>
        <w:rPr>
          <w:rStyle w:val="VerbatimChar"/>
        </w:rPr>
        <w:t xml:space="preserve">5G0-TRIM-4102</w:t>
      </w:r>
      <w:r>
        <w:t xml:space="preserve"> </w:t>
      </w:r>
      <w:r>
        <w:t xml:space="preserve">(Sub-Assembly or Component depending on downstream use).</w:t>
      </w:r>
    </w:p>
    <w:p>
      <w:pPr>
        <w:pStyle w:val="Compact"/>
        <w:numPr>
          <w:ilvl w:val="0"/>
          <w:numId w:val="1004"/>
        </w:numPr>
      </w:pPr>
      <w:r>
        <w:rPr>
          <w:rStyle w:val="VerbatimChar"/>
        </w:rPr>
        <w:t xml:space="preserve">Parts.Bom</w:t>
      </w:r>
      <w:r>
        <w:t xml:space="preserve"> </w:t>
      </w:r>
      <w:r>
        <w:t xml:space="preserve">for the trim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5G0-CAST</w:t>
      </w:r>
      <w:r>
        <w:t xml:space="preserve"> </w:t>
      </w:r>
      <w:r>
        <w:t xml:space="preserve">and</w:t>
      </w:r>
      <w:r>
        <w:t xml:space="preserve"> </w:t>
      </w:r>
      <w:r>
        <w:rPr>
          <w:rStyle w:val="VerbatimChar"/>
        </w:rPr>
        <w:t xml:space="preserve">QtyPer = 1</w:t>
      </w:r>
      <w:r>
        <w:t xml:space="preserve">.</w:t>
      </w:r>
    </w:p>
    <w:p>
      <w:pPr>
        <w:pStyle w:val="Compact"/>
        <w:numPr>
          <w:ilvl w:val="0"/>
          <w:numId w:val="1004"/>
        </w:numPr>
      </w:pPr>
      <w:r>
        <w:t xml:space="preserve">At the first Trim Shop Cell, scanning a cast LOT in prompts:</w:t>
      </w:r>
      <w:r>
        <w:t xml:space="preserve"> </w:t>
      </w:r>
      <w:r>
        <w:rPr>
          <w:i/>
          <w:iCs/>
        </w:rPr>
        <w:t xml:space="preserve">“This LOT is 5G0-CAST-4102. Receive as 5G0-TRIM-4102?”</w:t>
      </w:r>
      <w:r>
        <w:t xml:space="preserve"> </w:t>
      </w:r>
      <w:r>
        <w:t xml:space="preserve">— the prompt is driven by BOM lookup (which finished items have the scanned Item as a component).</w:t>
      </w:r>
    </w:p>
    <w:p>
      <w:pPr>
        <w:pStyle w:val="Compact"/>
        <w:numPr>
          <w:ilvl w:val="0"/>
          <w:numId w:val="1004"/>
        </w:numPr>
      </w:pPr>
      <w:r>
        <w:t xml:space="preserve">On confirm, a new destination LOT of the trim part is created;</w:t>
      </w:r>
      <w:r>
        <w:t xml:space="preserve"> </w:t>
      </w:r>
      <w:r>
        <w:rPr>
          <w:rStyle w:val="VerbatimChar"/>
        </w:rPr>
        <w:t xml:space="preserve">Workorder.ConsumptionEvent</w:t>
      </w:r>
      <w:r>
        <w:t xml:space="preserve"> </w:t>
      </w:r>
      <w:r>
        <w:t xml:space="preserve">records the flow (source cast LOT → produced trim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4"/>
        </w:numPr>
      </w:pPr>
      <w:r>
        <w:t xml:space="preserve">Yield loss at Trim (if any) is captured normally via</w:t>
      </w:r>
      <w:r>
        <w:t xml:space="preserve"> </w:t>
      </w:r>
      <w:r>
        <w:rPr>
          <w:rStyle w:val="VerbatimChar"/>
        </w:rPr>
        <w:t xml:space="preserve">Workorder.RejectEvent</w:t>
      </w:r>
      <w:r>
        <w:t xml:space="preserve"> </w:t>
      </w:r>
      <w:r>
        <w:t xml:space="preserve">on the source side.</w:t>
      </w:r>
    </w:p>
    <w:p>
      <w:pPr>
        <w:pStyle w:val="Compact"/>
        <w:numPr>
          <w:ilvl w:val="0"/>
          <w:numId w:val="1004"/>
        </w:numPr>
      </w:pPr>
      <w:r>
        <w:t xml:space="preserve">Backward trace: walk</w:t>
      </w:r>
      <w:r>
        <w:t xml:space="preserve"> </w:t>
      </w:r>
      <w:r>
        <w:rPr>
          <w:rStyle w:val="VerbatimChar"/>
        </w:rPr>
        <w:t xml:space="preserve">LotGenealogy</w:t>
      </w:r>
      <w:r>
        <w:t xml:space="preserve"> </w:t>
      </w:r>
      <w:r>
        <w:t xml:space="preserve">from shipped trim LOT back to cast LOT → machine / die / cavity / operator / timestamp. No join through an extra table.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(UI prompt + confirmation), the backward trace, and the FDS §5.7 Genealogy queries all work unchanged.</w:t>
      </w:r>
    </w:p>
    <w:bookmarkEnd w:id="32"/>
    <w:bookmarkStart w:id="33"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3"/>
    <w:bookmarkEnd w:id="34"/>
    <w:bookmarkStart w:id="53"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bookmarkStart w:id="35"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5"/>
    <w:bookmarkStart w:id="36"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6"/>
    <w:bookmarkStart w:id="37"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7"/>
    <w:bookmarkStart w:id="38" w:name="lot"/>
    <w:p>
      <w:pPr>
        <w:pStyle w:val="Heading3"/>
      </w:pPr>
      <w:r>
        <w:t xml:space="preserve">Lot</w:t>
      </w:r>
    </w:p>
    <w:p>
      <w:pPr>
        <w:pStyle w:val="FirstParagraph"/>
      </w:pPr>
      <w:r>
        <w:t xml:space="preserve">The central tracking entity.</w:t>
      </w:r>
    </w:p>
    <w:p>
      <w:pPr>
        <w:pStyle w:val="BlockText"/>
      </w:pPr>
      <w:r>
        <w:rPr>
          <w:b/>
          <w:bCs/>
        </w:rPr>
        <w:t xml:space="preserve">v1.9 changes:</w:t>
      </w:r>
      <w:r>
        <w:t xml:space="preserve"> </w:t>
      </w:r>
      <w:r>
        <w:t xml:space="preserve">Added</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FKs (Tool/Cavity is system of record on the LOT, not on</w:t>
      </w:r>
      <w:r>
        <w:t xml:space="preserve"> </w:t>
      </w:r>
      <w:r>
        <w:rPr>
          <w:rStyle w:val="VerbatimChar"/>
        </w:rPr>
        <w:t xml:space="preserve">ProductionEvent</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w:t>
      </w:r>
      <w:r>
        <w:t xml:space="preserve">on blended-origin LOTs. Codifies OI-09: a die-cast machine with N active cavities produces</w:t>
      </w:r>
      <w:r>
        <w:t xml:space="preserve"> </w:t>
      </w:r>
      <w:r>
        <w:rPr>
          <w:b/>
          <w:bCs/>
        </w:rPr>
        <w:t xml:space="preserve">N parallel independent LOTs (not sublots)</w:t>
      </w:r>
      <w:r>
        <w:t xml:space="preserve"> </w:t>
      </w:r>
      <w:r>
        <w:t xml:space="preserve">— each LOT has fixed Tool + Cavity at creation, fills at its own rate, closes independently via explicit operator action. Pre-v1.9</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NVARCHAR columns are now legacy (retained for cutover transition; slated for removal once all writers use the FKs).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NULL</w:t>
            </w:r>
          </w:p>
        </w:tc>
        <w:tc>
          <w:tcPr>
            <w:shd w:val="clear" w:color="auto" w:fill="F2F2F2"/>
          </w:tcPr>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against</w:t>
            </w:r>
            <w:r>
              <w:t xml:space="preserve"> </w:t>
            </w:r>
            <w:r>
              <w:rPr>
                <w:rStyle w:val="VerbatimChar"/>
              </w:rPr>
              <w:t xml:space="preserve">Tools.ToolAssignment_ListActiveByCell</w:t>
            </w:r>
            <w:r>
              <w:t xml:space="preserve"> </w:t>
            </w:r>
            <w:r>
              <w:t xml:space="preserve">— the Tool must be currently mounted on the cell). NULL for other origins (Received, Trim / Machining intermediate, Assembly, Serialized). NULL after</w:t>
            </w:r>
            <w:r>
              <w:t xml:space="preserve"> </w:t>
            </w:r>
            <w:r>
              <w:rPr>
                <w:rStyle w:val="VerbatimChar"/>
              </w:rPr>
              <w:t xml:space="preserve">Lot_Merge</w:t>
            </w:r>
            <w:r>
              <w:t xml:space="preserve"> </w:t>
            </w:r>
            <w:r>
              <w:t xml:space="preserve">on blended-origin LOTs (can’t denormalize multiple Tools). Downstream LOTs do NOT carry — Honda-trace via</w:t>
            </w:r>
            <w:r>
              <w:t xml:space="preserve"> </w:t>
            </w:r>
            <w:r>
              <w:rPr>
                <w:rStyle w:val="VerbatimChar"/>
              </w:rPr>
              <w:t xml:space="preserve">LotGenealogy</w:t>
            </w:r>
            <w:r>
              <w:t xml:space="preserve"> </w:t>
            </w:r>
            <w:r>
              <w:t xml:space="preserve">traversal.</w:t>
            </w:r>
          </w:p>
        </w:tc>
      </w:tr>
      <w:tr>
        <w:tc>
          <w:tcPr/>
          <w:p>
            <w:pPr>
              <w:pStyle w:val="Compact"/>
            </w:pPr>
            <w:r>
              <w:t xml:space="preserve">ToolCavityId</w:t>
            </w:r>
          </w:p>
        </w:tc>
        <w:tc>
          <w:tcPr/>
          <w:p>
            <w:pPr>
              <w:pStyle w:val="Compact"/>
            </w:pPr>
            <w:r>
              <w:t xml:space="preserve">BIGINT</w:t>
            </w:r>
          </w:p>
        </w:tc>
        <w:tc>
          <w:tcPr/>
          <w:p>
            <w:pPr>
              <w:pStyle w:val="Compact"/>
            </w:pPr>
            <w:r>
              <w:t xml:space="preserve">FK → Tools.ToolCavity.Id, NULL</w:t>
            </w:r>
          </w:p>
        </w:tc>
        <w:tc>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cavity belongs to</w:t>
            </w:r>
            <w:r>
              <w:t xml:space="preserve"> </w:t>
            </w:r>
            <w:r>
              <w:rPr>
                <w:rStyle w:val="VerbatimChar"/>
              </w:rPr>
              <w:t xml:space="preserve">ToolId</w:t>
            </w:r>
            <w:r>
              <w:t xml:space="preserve"> </w:t>
            </w:r>
            <w:r>
              <w:t xml:space="preserve">+ cavity status is Active).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rPr>
                <w:b/>
                <w:bCs/>
              </w:rPr>
              <w:t xml:space="preserve">Legacy as of v1.9</w:t>
            </w:r>
            <w:r>
              <w:t xml:space="preserve"> </w:t>
            </w:r>
            <w:r>
              <w:t xml:space="preserve">— superseded by</w:t>
            </w:r>
            <w:r>
              <w:t xml:space="preserve"> </w:t>
            </w:r>
            <w:r>
              <w:rPr>
                <w:rStyle w:val="VerbatimChar"/>
              </w:rPr>
              <w:t xml:space="preserve">ToolId</w:t>
            </w:r>
            <w:r>
              <w:t xml:space="preserve"> </w:t>
            </w:r>
            <w:r>
              <w:t xml:space="preserve">FK above. Retained this release to support any cutover script needing the NVARCHAR form; scheduled for removal in a follow-up migration once all writers move to the Tool FK.</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rPr>
                <w:b/>
                <w:bCs/>
              </w:rPr>
              <w:t xml:space="preserve">Legacy as of v1.9</w:t>
            </w:r>
            <w:r>
              <w:t xml:space="preserve"> </w:t>
            </w:r>
            <w:r>
              <w:t xml:space="preserve">— superseded by</w:t>
            </w:r>
            <w:r>
              <w:t xml:space="preserve"> </w:t>
            </w:r>
            <w:r>
              <w:rPr>
                <w:rStyle w:val="VerbatimChar"/>
              </w:rPr>
              <w:t xml:space="preserve">ToolCavityId</w:t>
            </w:r>
            <w:r>
              <w:t xml:space="preserve"> </w:t>
            </w:r>
            <w:r>
              <w:t xml:space="preserve">FK. Retained for cutover transition; scheduled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w:t>
            </w:r>
            <w:r>
              <w:t xml:space="preserve"> </w:t>
            </w:r>
            <w:r>
              <w:rPr>
                <w:b/>
                <w:bCs/>
              </w:rPr>
              <w:t xml:space="preserve">Machining sub-LOTs</w:t>
            </w:r>
            <w:r>
              <w:t xml:space="preserve"> </w:t>
            </w:r>
            <w:r>
              <w:t xml:space="preserve">(FDS §5.4). Not used for cavity-parallel LOTs at Die Cast — those are peers, not parent/child.</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bookmarkEnd w:id="38"/>
    <w:bookmarkStart w:id="39"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0"/>
    <w:bookmarkStart w:id="41"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1"/>
    <w:bookmarkStart w:id="42"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2"/>
    <w:bookmarkStart w:id="43"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3"/>
    <w:bookmarkStart w:id="44"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4"/>
    <w:bookmarkStart w:id="45" w:name="identifiersequence"/>
    <w:p>
      <w:pPr>
        <w:pStyle w:val="Heading3"/>
      </w:pPr>
      <w:r>
        <w:t xml:space="preserve">IdentifierSequence</w:t>
      </w:r>
    </w:p>
    <w:p>
      <w:pPr>
        <w:pStyle w:val="FirstParagraph"/>
      </w:pPr>
      <w:r>
        <w:t xml:space="preserve">Added v1.9 (OI-31). Replaces Flexware’s</w:t>
      </w:r>
      <w:r>
        <w:t xml:space="preserve"> </w:t>
      </w:r>
      <w:r>
        <w:rPr>
          <w:rStyle w:val="VerbatimChar"/>
        </w:rPr>
        <w:t xml:space="preserve">IdentifierFormat</w:t>
      </w:r>
      <w:r>
        <w:t xml:space="preserve"> </w:t>
      </w:r>
      <w:r>
        <w:t xml:space="preserve">table and drives all MPP-internal identifier minting — Lot LTT barcode (</w:t>
      </w:r>
      <w:r>
        <w:rPr>
          <w:rStyle w:val="VerbatimChar"/>
        </w:rPr>
        <w:t xml:space="preserve">MESL{0:D7}</w:t>
      </w:r>
      <w:r>
        <w:t xml:space="preserve">), SerializedItem ID (</w:t>
      </w:r>
      <w:r>
        <w:rPr>
          <w:rStyle w:val="VerbatimChar"/>
        </w:rPr>
        <w:t xml:space="preserve">MESI{0:D7}</w:t>
      </w:r>
      <w:r>
        <w:t xml:space="preserve">), and any future non-AIM counters. Honda AIM shipper IDs are out of scope (those come from</w:t>
      </w:r>
      <w:r>
        <w:t xml:space="preserve"> </w:t>
      </w:r>
      <w:r>
        <w:rPr>
          <w:rStyle w:val="VerbatimChar"/>
        </w:rPr>
        <w:t xml:space="preserve">AIM.GetNextNumber</w:t>
      </w:r>
      <w:r>
        <w:t xml:space="preserve">). Cutover-day migration seeds</w:t>
      </w:r>
      <w:r>
        <w:t xml:space="preserve"> </w:t>
      </w:r>
      <w:r>
        <w:rPr>
          <w:rStyle w:val="VerbatimChar"/>
        </w:rPr>
        <w:t xml:space="preserve">LastValue</w:t>
      </w:r>
      <w:r>
        <w:t xml:space="preserve"> </w:t>
      </w:r>
      <w:r>
        <w:t xml:space="preserve">at or above the live Flexware value to avoid collisions with in-circulation LOTs.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Sequence key (e.g.,</w:t>
            </w:r>
            <w:r>
              <w:t xml:space="preserve"> </w:t>
            </w:r>
            <w:r>
              <w:rPr>
                <w:rStyle w:val="VerbatimChar"/>
              </w:rPr>
              <w:t xml:space="preserve">Lot</w:t>
            </w:r>
            <w:r>
              <w:t xml:space="preserve">,</w:t>
            </w:r>
            <w:r>
              <w:t xml:space="preserve"> </w:t>
            </w:r>
            <w:r>
              <w:rPr>
                <w:rStyle w:val="VerbatimChar"/>
              </w:rPr>
              <w:t xml:space="preserve">SerializedItem</w:t>
            </w:r>
            <w:r>
              <w:t xml:space="preserve">). Passed to</w:t>
            </w:r>
            <w:r>
              <w:t xml:space="preserve"> </w:t>
            </w:r>
            <w:r>
              <w:rPr>
                <w:rStyle w:val="VerbatimChar"/>
              </w:rPr>
              <w:t xml:space="preserve">IdentifierSequence_Next @Code</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FormatString</w:t>
            </w:r>
          </w:p>
        </w:tc>
        <w:tc>
          <w:tcPr/>
          <w:p>
            <w:pPr>
              <w:pStyle w:val="Compact"/>
            </w:pPr>
            <w:r>
              <w:t xml:space="preserve">NVARCHAR(50)</w:t>
            </w:r>
          </w:p>
        </w:tc>
        <w:tc>
          <w:tcPr/>
          <w:p>
            <w:pPr>
              <w:pStyle w:val="Compact"/>
            </w:pPr>
            <w:r>
              <w:t xml:space="preserve">NOT NULL</w:t>
            </w:r>
          </w:p>
        </w:tc>
        <w:tc>
          <w:tcPr/>
          <w:p>
            <w:pPr>
              <w:pStyle w:val="Compact"/>
            </w:pPr>
            <w:r>
              <w:rPr>
                <w:rStyle w:val="VerbatimChar"/>
              </w:rPr>
              <w:t xml:space="preserve">.NET</w:t>
            </w:r>
            <w:r>
              <w:t xml:space="preserve"> </w:t>
            </w:r>
            <w:r>
              <w:rPr>
                <w:rStyle w:val="VerbatimChar"/>
              </w:rPr>
              <w:t xml:space="preserve">string.Format</w:t>
            </w:r>
            <w:r>
              <w:t xml:space="preserve"> </w:t>
            </w:r>
            <w:r>
              <w:t xml:space="preserve">pattern, e.g.,</w:t>
            </w:r>
            <w:r>
              <w:t xml:space="preserve"> </w:t>
            </w:r>
            <w:r>
              <w:rPr>
                <w:rStyle w:val="VerbatimChar"/>
              </w:rPr>
              <w:t xml:space="preserve">MESL{0:D7}</w:t>
            </w:r>
            <w:r>
              <w:t xml:space="preserve"> </w:t>
            </w:r>
            <w:r>
              <w:t xml:space="preserve">produces</w:t>
            </w:r>
            <w:r>
              <w:t xml:space="preserve"> </w:t>
            </w:r>
            <w:r>
              <w:rPr>
                <w:rStyle w:val="VerbatimChar"/>
              </w:rPr>
              <w:t xml:space="preserve">MESL0000001</w:t>
            </w:r>
            <w:r>
              <w:t xml:space="preserve"> </w:t>
            </w:r>
            <w:r>
              <w:t xml:space="preserve">for value 1.</w:t>
            </w:r>
          </w:p>
        </w:tc>
      </w:tr>
      <w:tr>
        <w:tc>
          <w:tcPr>
            <w:shd w:val="clear" w:color="auto" w:fill="F2F2F2"/>
          </w:tcPr>
          <w:tcPr/>
          <w:p>
            <w:pPr>
              <w:pStyle w:val="Compact"/>
            </w:pPr>
            <w:r>
              <w:t xml:space="preserve">StartingValue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1</w:t>
            </w:r>
          </w:p>
        </w:tc>
        <w:tc>
          <w:tcPr>
            <w:shd w:val="clear" w:color="auto" w:fill="F2F2F2"/>
          </w:tcPr>
          <w:tcPr/>
          <w:p>
            <w:pPr>
              <w:pStyle w:val="Compact"/>
            </w:pPr>
            <w:r>
              <w:t xml:space="preserve">Lower bound of the numeric range</w:t>
            </w:r>
          </w:p>
        </w:tc>
      </w:tr>
      <w:tr>
        <w:tc>
          <w:tcPr/>
          <w:p>
            <w:pPr>
              <w:pStyle w:val="Compact"/>
            </w:pPr>
            <w:r>
              <w:t xml:space="preserve">EndingValue</w:t>
            </w:r>
          </w:p>
        </w:tc>
        <w:tc>
          <w:tcPr/>
          <w:p>
            <w:pPr>
              <w:pStyle w:val="Compact"/>
            </w:pPr>
            <w:r>
              <w:t xml:space="preserve">BIGINT</w:t>
            </w:r>
          </w:p>
        </w:tc>
        <w:tc>
          <w:tcPr/>
          <w:p>
            <w:pPr>
              <w:pStyle w:val="Compact"/>
            </w:pPr>
            <w:r>
              <w:t xml:space="preserve">NOT NULL, DEFAULT 9999999</w:t>
            </w:r>
          </w:p>
        </w:tc>
        <w:tc>
          <w:tcPr/>
          <w:p>
            <w:pPr>
              <w:pStyle w:val="Compact"/>
            </w:pPr>
            <w:r>
              <w:t xml:space="preserve">Upper bound before rollover —</w:t>
            </w:r>
            <w:r>
              <w:t xml:space="preserve"> </w:t>
            </w:r>
            <w:r>
              <w:rPr>
                <w:rStyle w:val="VerbatimChar"/>
              </w:rPr>
              <w:t xml:space="preserve">IdentifierSequence_Next</w:t>
            </w:r>
            <w:r>
              <w:t xml:space="preserve"> </w:t>
            </w:r>
            <w:r>
              <w:t xml:space="preserve">raises a business-rule error when</w:t>
            </w:r>
            <w:r>
              <w:t xml:space="preserve"> </w:t>
            </w:r>
            <w:r>
              <w:rPr>
                <w:rStyle w:val="VerbatimChar"/>
              </w:rPr>
              <w:t xml:space="preserve">LastValue + 1 &gt; EndingValue</w:t>
            </w:r>
            <w:r>
              <w:t xml:space="preserve"> </w:t>
            </w:r>
            <w:r>
              <w:t xml:space="preserve">without an explicit reset policy</w:t>
            </w:r>
          </w:p>
        </w:tc>
      </w:tr>
      <w:tr>
        <w:tc>
          <w:tcPr>
            <w:shd w:val="clear" w:color="auto" w:fill="F2F2F2"/>
          </w:tcPr>
          <w:tcPr/>
          <w:p>
            <w:pPr>
              <w:pStyle w:val="Compact"/>
            </w:pPr>
            <w:r>
              <w:t xml:space="preserve">LastValue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0</w:t>
            </w:r>
          </w:p>
        </w:tc>
        <w:tc>
          <w:tcPr>
            <w:shd w:val="clear" w:color="auto" w:fill="F2F2F2"/>
          </w:tcPr>
          <w:tcPr/>
          <w:p>
            <w:pPr>
              <w:pStyle w:val="Compact"/>
            </w:pPr>
            <w:r>
              <w:t xml:space="preserve">Most recent issued numeric value.</w:t>
            </w:r>
            <w:r>
              <w:t xml:space="preserve"> </w:t>
            </w:r>
            <w:r>
              <w:rPr>
                <w:rStyle w:val="VerbatimChar"/>
              </w:rPr>
              <w:t xml:space="preserve">IdentifierSequence_Next</w:t>
            </w:r>
            <w:r>
              <w:t xml:space="preserve"> </w:t>
            </w:r>
            <w:r>
              <w:t xml:space="preserve">atomically increments this and returns the formatted string.</w:t>
            </w:r>
          </w:p>
        </w:tc>
      </w:tr>
      <w:tr>
        <w:tc>
          <w:tcPr/>
          <w:p>
            <w:pPr>
              <w:pStyle w:val="Compact"/>
            </w:pPr>
            <w:r>
              <w:t xml:space="preserve">ResetIntervalMinutes</w:t>
            </w:r>
          </w:p>
        </w:tc>
        <w:tc>
          <w:tcPr/>
          <w:p>
            <w:pPr>
              <w:pStyle w:val="Compact"/>
            </w:pPr>
            <w:r>
              <w:t xml:space="preserve">INT</w:t>
            </w:r>
          </w:p>
        </w:tc>
        <w:tc>
          <w:tcPr/>
          <w:p>
            <w:pPr>
              <w:pStyle w:val="Compact"/>
            </w:pPr>
            <w:r>
              <w:t xml:space="preserve">NULL</w:t>
            </w:r>
          </w:p>
        </w:tc>
        <w:tc>
          <w:tcPr/>
          <w:p>
            <w:pPr>
              <w:pStyle w:val="Compact"/>
            </w:pPr>
            <w:r>
              <w:t xml:space="preserve">Unused at MPP today (Flexware has no reset policy); nullable for future line/shift-specific reset rules if MPP elects them.</w:t>
            </w:r>
          </w:p>
        </w:tc>
      </w:tr>
      <w:tr>
        <w:tc>
          <w:tcPr>
            <w:shd w:val="clear" w:color="auto" w:fill="F2F2F2"/>
          </w:tcPr>
          <w:tcPr/>
          <w:p>
            <w:pPr>
              <w:pStyle w:val="Compact"/>
            </w:pPr>
            <w:r>
              <w:t xml:space="preserve">LastResetAt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Timestamp of last reset (manual or scheduled); unused at MPP today</w:t>
            </w:r>
          </w:p>
        </w:tc>
      </w:tr>
      <w:tr>
        <w:tc>
          <w:tcPr/>
          <w:p>
            <w:pPr>
              <w:pStyle w:val="Compact"/>
            </w:pPr>
            <w:r>
              <w:t xml:space="preserve">UpdatedAt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Companion proc:</w:t>
      </w:r>
      <w:r>
        <w:t xml:space="preserve"> </w:t>
      </w:r>
      <w:r>
        <w:rPr>
          <w:rStyle w:val="VerbatimChar"/>
        </w:rPr>
        <w:t xml:space="preserve">Lots.IdentifierSequence_Next @Code</w:t>
      </w:r>
      <w:r>
        <w:t xml:space="preserve"> </w:t>
      </w:r>
      <w:r>
        <w:t xml:space="preserve">— single-row lookup + atomic</w:t>
      </w:r>
      <w:r>
        <w:t xml:space="preserve"> </w:t>
      </w:r>
      <w:r>
        <w:rPr>
          <w:rStyle w:val="VerbatimChar"/>
        </w:rPr>
        <w:t xml:space="preserve">UPDATE ... SET LastValue = LastValue + 1 OUTPUT inserted.LastValue, inserted.FormatString</w:t>
      </w:r>
      <w:r>
        <w:t xml:space="preserve"> </w:t>
      </w:r>
      <w:r>
        <w:t xml:space="preserve">inside a transaction, then formats the result. Raises on unknown</w:t>
      </w:r>
      <w:r>
        <w:t xml:space="preserve"> </w:t>
      </w:r>
      <w:r>
        <w:rPr>
          <w:rStyle w:val="VerbatimChar"/>
        </w:rPr>
        <w:t xml:space="preserve">@Code</w:t>
      </w:r>
      <w:r>
        <w:t xml:space="preserve"> </w:t>
      </w:r>
      <w:r>
        <w:t xml:space="preserve">and on rollover. Returns a single result set</w:t>
      </w:r>
      <w:r>
        <w:t xml:space="preserve"> </w:t>
      </w:r>
      <w:r>
        <w:rPr>
          <w:rStyle w:val="VerbatimChar"/>
        </w:rPr>
        <w:t xml:space="preserve">(Value NVARCHAR(50))</w:t>
      </w:r>
      <w:r>
        <w:t xml:space="preserve"> </w:t>
      </w:r>
      <w:r>
        <w:t xml:space="preserve">per the Ignition JDBC single-result-set convention (FDS-11-011).</w:t>
      </w:r>
    </w:p>
    <w:p>
      <w:pPr>
        <w:pStyle w:val="BodyText"/>
      </w:pPr>
      <w:r>
        <w:rPr>
          <w:b/>
          <w:bCs/>
        </w:rPr>
        <w:t xml:space="preserve">Seed data (Arc 2 Phase 1 migration, values confirmed on cutover day):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LastValue (Flexware sample 2026-04-23)</w:t>
            </w:r>
          </w:p>
        </w:tc>
      </w:tr>
      <w:tr>
        <w:tc>
          <w:tcPr/>
          <w:p>
            <w:pPr>
              <w:pStyle w:val="Compact"/>
            </w:pPr>
            <w:r>
              <w:t xml:space="preserve">Lot</w:t>
            </w:r>
          </w:p>
        </w:tc>
        <w:tc>
          <w:tcPr/>
          <w:p>
            <w:pPr>
              <w:pStyle w:val="Compact"/>
            </w:pPr>
            <w:r>
              <w:rPr>
                <w:rStyle w:val="VerbatimChar"/>
              </w:rPr>
              <w:t xml:space="preserve">MESL{0:D7}</w:t>
            </w:r>
          </w:p>
        </w:tc>
        <w:tc>
          <w:tcPr/>
          <w:p>
            <w:pPr>
              <w:pStyle w:val="Compact"/>
            </w:pPr>
            <w:r>
              <w:t xml:space="preserve">1,710,932 (drift expected; re-sample at cutover)</w:t>
            </w:r>
          </w:p>
        </w:tc>
      </w:tr>
      <w:tr>
        <w:tc>
          <w:tcPr>
            <w:shd w:val="clear" w:color="auto" w:fill="F2F2F2"/>
          </w:tcPr>
          <w:tcPr/>
          <w:p>
            <w:pPr>
              <w:pStyle w:val="Compact"/>
            </w:pPr>
            <w: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2,492 (drift expected; re-sample at cutover)</w:t>
            </w:r>
          </w:p>
        </w:tc>
      </w:tr>
    </w:tbl>
    <w:p>
      <w:pPr>
        <w:pStyle w:val="BodyText"/>
      </w:pPr>
      <w:r>
        <w:rPr>
          <w:b/>
          <w:bCs/>
        </w:rPr>
        <w:t xml:space="preserve">Open questions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Counter inventory is the two rows shown above — the Flexware</w:t>
      </w:r>
      <w:r>
        <w:t xml:space="preserve"> </w:t>
      </w:r>
      <w:r>
        <w:rPr>
          <w:rStyle w:val="VerbatimChar"/>
        </w:rPr>
        <w:t xml:space="preserve">IdentifierFormat</w:t>
      </w:r>
      <w:r>
        <w:t xml:space="preserve"> </w:t>
      </w:r>
      <w:r>
        <w:t xml:space="preserve">export is the authoritative list. See</w:t>
      </w:r>
      <w:r>
        <w:t xml:space="preserve"> </w:t>
      </w:r>
      <w:r>
        <w:rPr>
          <w:rStyle w:val="VerbatimChar"/>
        </w:rPr>
        <w:t xml:space="preserve">MPP_MES_Open_Issues_Register.md</w:t>
      </w:r>
      <w:r>
        <w:t xml:space="preserve"> </w:t>
      </w:r>
      <w:r>
        <w:t xml:space="preserve">OI-31.</w:t>
      </w:r>
    </w:p>
    <w:bookmarkEnd w:id="45"/>
    <w:bookmarkStart w:id="46"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6"/>
    <w:bookmarkStart w:id="47"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7"/>
    <w:bookmarkStart w:id="48"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8"/>
    <w:bookmarkStart w:id="49"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9"/>
    <w:bookmarkStart w:id="50"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0"/>
    <w:bookmarkStart w:id="51"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lockText"/>
      </w:pPr>
      <w:r>
        <w:t xml:space="preserve">🔶</w:t>
      </w:r>
      <w:r>
        <w:t xml:space="preserve"> </w:t>
      </w:r>
      <w:r>
        <w:rPr>
          <w:b/>
          <w:bCs/>
        </w:rPr>
        <w:t xml:space="preserve">PENDING INTERNAL REVIEW — UJ-16:</w:t>
      </w:r>
      <w:r>
        <w:t xml:space="preserve"> </w:t>
      </w:r>
      <w:r>
        <w:t xml:space="preserve">When</w:t>
      </w:r>
      <w:r>
        <w:t xml:space="preserve"> </w:t>
      </w:r>
      <w:r>
        <w:rPr>
          <w:rStyle w:val="VerbatimChar"/>
        </w:rPr>
        <w:t xml:space="preserve">HardwareInterlockEnable=false</w:t>
      </w:r>
      <w:r>
        <w:t xml:space="preserve">, parts enter containers without MES serial validation. A flag is needed to record that interlock was bypassed and serial validation was skipped. Two options under discussion:</w:t>
      </w:r>
    </w:p>
    <w:p>
      <w:pPr>
        <w:pStyle w:val="BlockText"/>
      </w:pPr>
      <w:r>
        <w:rPr>
          <w:b/>
          <w:bCs/>
        </w:rPr>
        <w:t xml:space="preserve">(a)</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ContainerSerial</w:t>
      </w:r>
      <w:r>
        <w:t xml:space="preserve"> </w:t>
      </w:r>
      <w:r>
        <w:t xml:space="preserve">— marks the specific serial-to-container assignment that skipped validation.</w:t>
      </w:r>
    </w:p>
    <w:p>
      <w:pPr>
        <w:pStyle w:val="BlockText"/>
      </w:pPr>
      <w:r>
        <w:rPr>
          <w:b/>
          <w:bCs/>
        </w:rPr>
        <w:t xml:space="preserve">(b)</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ProductionEvent</w:t>
      </w:r>
      <w:r>
        <w:t xml:space="preserve"> </w:t>
      </w:r>
      <w:r>
        <w:t xml:space="preserve">— marks the broader production event as having occurred without interlock.</w:t>
      </w:r>
    </w:p>
    <w:p>
      <w:pPr>
        <w:pStyle w:val="BlockText"/>
      </w:pPr>
      <w:r>
        <w:t xml:space="preserve">The circumstances under which MPP bypasses the interlock are not yet understood. Both options are presented for discussion with Ben. The flag may belong on both tables if bypass affects traceability at both levels.</w:t>
      </w:r>
    </w:p>
    <w:bookmarkEnd w:id="51"/>
    <w:bookmarkStart w:id="52" w:name="shippinglabel"/>
    <w:p>
      <w:pPr>
        <w:pStyle w:val="Heading3"/>
      </w:pPr>
      <w:r>
        <w:t xml:space="preserve">ShippingLabel</w:t>
      </w:r>
    </w:p>
    <w:p>
      <w:pPr>
        <w:pStyle w:val="FirstParagraph"/>
      </w:pPr>
      <w:r>
        <w:t xml:space="preserve">Container shipping label print/void history.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AIM</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bl>
    <w:p>
      <w:r>
        <w:pict>
          <v:rect style="width:0;height:1.5pt" o:hralign="center" o:hrstd="t" o:hr="t"/>
        </w:pict>
      </w:r>
    </w:p>
    <w:bookmarkEnd w:id="52"/>
    <w:bookmarkEnd w:id="53"/>
    <w:bookmarkStart w:id="64"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Demand (planned PM) and Maintenance (emergency) WO flows —</w:t>
      </w:r>
      <w:r>
        <w:t xml:space="preserve"> </w:t>
      </w:r>
      <w:r>
        <w:rPr>
          <w:b/>
          <w:bCs/>
        </w:rPr>
        <w:t xml:space="preserve">FUTURE</w:t>
      </w:r>
      <w:r>
        <w:t xml:space="preserve"> </w:t>
      </w:r>
      <w:r>
        <w:t xml:space="preserve">(separate project scope; this system only provides the code-table hook via</w:t>
      </w:r>
      <w:r>
        <w:t xml:space="preserve"> </w:t>
      </w:r>
      <w:r>
        <w:rPr>
          <w:rStyle w:val="VerbatimChar"/>
        </w:rPr>
        <w:t xml:space="preserve">WorkOrderType</w:t>
      </w:r>
      <w:r>
        <w:t xml:space="preserve"> </w:t>
      </w:r>
      <w:r>
        <w:t xml:space="preserve">and the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(2026-04-24 correction of 2026-04-20):</w:t>
      </w:r>
      <w:r>
        <w:t xml:space="preserve"> </w:t>
      </w:r>
      <w:r>
        <w:t xml:space="preserve">MVP ships with</w:t>
      </w:r>
      <w:r>
        <w:t xml:space="preserve"> </w:t>
      </w:r>
      <w:r>
        <w:rPr>
          <w:b/>
          <w:bCs/>
        </w:rPr>
        <w:t xml:space="preserve">one</w:t>
      </w:r>
      <w:r>
        <w:t xml:space="preserve"> </w:t>
      </w:r>
      <w:r>
        <w:t xml:space="preserve">active WO type —</w:t>
      </w:r>
      <w:r>
        <w:t xml:space="preserve"> </w:t>
      </w:r>
      <w:r>
        <w:rPr>
          <w:rStyle w:val="VerbatimChar"/>
        </w:rPr>
        <w:t xml:space="preserve">Production</w:t>
      </w:r>
      <w:r>
        <w:t xml:space="preserve"> </w:t>
      </w:r>
      <w:r>
        <w:t xml:space="preserve">— preserving the pre-existing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 separate Recipe concept exists.</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are genuinely separate future WO types under MPP’s taxonomy — they are NOT built in this project; the</w:t>
      </w:r>
      <w:r>
        <w:t xml:space="preserve"> </w:t>
      </w:r>
      <w:r>
        <w:rPr>
          <w:rStyle w:val="VerbatimChar"/>
        </w:rPr>
        <w:t xml:space="preserve">WorkOrderType</w:t>
      </w:r>
      <w:r>
        <w:t xml:space="preserve"> </w:t>
      </w:r>
      <w:r>
        <w:t xml:space="preserve">code table exists as a future hook so new rows can be INSERTed without schema change when MPP scopes the maintenance engine. Operators never see or interact with any WO in MVP.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54"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4"/>
    <w:bookmarkStart w:id="55"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55"/>
    <w:bookmarkStart w:id="56"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6"/>
    <w:bookmarkStart w:id="57" w:name="workordertype"/>
    <w:p>
      <w:pPr>
        <w:pStyle w:val="Heading3"/>
      </w:pPr>
      <w:r>
        <w:t xml:space="preserve">WorkOrderType</w:t>
      </w:r>
    </w:p>
    <w:p>
      <w:pPr>
        <w:pStyle w:val="FirstParagraph"/>
      </w:pPr>
      <w:r>
        <w:t xml:space="preserve">Read-only code table. Added in v1.7 (Phase B); seed corrected in v1.9b (2026-04-24) per OI-07. Serves as a</w:t>
      </w:r>
      <w:r>
        <w:t xml:space="preserve"> </w:t>
      </w:r>
      <w:r>
        <w:rPr>
          <w:b/>
          <w:bCs/>
        </w:rPr>
        <w:t xml:space="preserve">future hook</w:t>
      </w:r>
      <w:r>
        <w:t xml:space="preserve"> </w:t>
      </w:r>
      <w:r>
        <w:t xml:space="preserve">— new WO type rows can be INSERTed without schema change when MPP scopes separate Demand (planned PM) and Maintenance (emergency) engines.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Production</w:t>
            </w:r>
            <w:r>
              <w:t xml:space="preserve"> </w:t>
            </w:r>
            <w:r>
              <w:t xml:space="preserve">(the only active code in MVP)</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(authoritative — Arc 2 Phase 1 migration or follow-up correction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Production</w:t>
            </w:r>
          </w:p>
        </w:tc>
        <w:tc>
          <w:tcPr/>
          <w:p>
            <w:pPr>
              <w:pStyle w:val="Compact"/>
            </w:pPr>
            <w:r>
              <w:t xml:space="preserve">Production Work Order</w:t>
            </w:r>
          </w:p>
        </w:tc>
        <w:tc>
          <w:tcPr/>
          <w:p>
            <w:pPr>
              <w:pStyle w:val="Compact"/>
            </w:pPr>
            <w:r>
              <w:t xml:space="preserve">MVP-LITE — auto-generated on LOT start, invisible to operators, no WO screens. Retains the v1.7 bookkeeping behaviour.</w:t>
            </w:r>
          </w:p>
        </w:tc>
      </w:tr>
    </w:tbl>
    <w:p>
      <w:pPr>
        <w:pStyle w:val="BodyText"/>
      </w:pPr>
      <w:r>
        <w:rPr>
          <w:b/>
          <w:bCs/>
        </w:rPr>
        <w:t xml:space="preserve">FUTURE — not seeded in this project</w:t>
      </w:r>
      <w:r>
        <w:t xml:space="preserve"> </w:t>
      </w:r>
      <w:r>
        <w:t xml:space="preserve">(MPP can INSERT these rows when scoping the maintenance engine):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r>
      <w:tr>
        <w:tc>
          <w:tcPr/>
          <w:p>
            <w:pPr>
              <w:pStyle w:val="Compact"/>
            </w:pPr>
            <w:r>
              <w:t xml:space="preserve">Demand</w:t>
            </w:r>
          </w:p>
        </w:tc>
        <w:tc>
          <w:tcPr/>
          <w:p>
            <w:pPr>
              <w:pStyle w:val="Compact"/>
            </w:pPr>
            <w:r>
              <w:t xml:space="preserve">Planned preventative maintenance.</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r>
    </w:tbl>
    <w:p>
      <w:pPr>
        <w:pStyle w:val="BlockText"/>
      </w:pPr>
      <w:r>
        <w:rPr>
          <w:b/>
          <w:bCs/>
        </w:rPr>
        <w:t xml:space="preserve">SQL correction follow-up queued:</w:t>
      </w:r>
      <w:r>
        <w:t xml:space="preserve"> </w:t>
      </w:r>
      <w:r>
        <w:t xml:space="preserve">Phase G migration</w:t>
      </w:r>
      <w:r>
        <w:t xml:space="preserve"> </w:t>
      </w:r>
      <w:r>
        <w:rPr>
          <w:rStyle w:val="VerbatimChar"/>
        </w:rPr>
        <w:t xml:space="preserve">0010_phase9_tools_and_workorder.sql</w:t>
      </w:r>
      <w:r>
        <w:t xml:space="preserve"> </w:t>
      </w:r>
      <w:r>
        <w:t xml:space="preserve">shipped with 3 seed rows (</w:t>
      </w:r>
      <w:r>
        <w:rPr>
          <w:rStyle w:val="VerbatimChar"/>
        </w:rPr>
        <w:t xml:space="preserve">Demand</w:t>
      </w:r>
      <w:r>
        <w:t xml:space="preserve">/</w:t>
      </w:r>
      <w:r>
        <w:rPr>
          <w:rStyle w:val="VerbatimChar"/>
        </w:rPr>
        <w:t xml:space="preserve">Maintenance</w:t>
      </w:r>
      <w:r>
        <w:t xml:space="preserve">/</w:t>
      </w:r>
      <w:r>
        <w:rPr>
          <w:rStyle w:val="VerbatimChar"/>
        </w:rPr>
        <w:t xml:space="preserve">Recipe</w:t>
      </w:r>
      <w:r>
        <w:t xml:space="preserve">). A follow-up versioned migration is needed to rename Id=1</w:t>
      </w:r>
      <w:r>
        <w:t xml:space="preserve"> </w:t>
      </w:r>
      <w:r>
        <w:rPr>
          <w:rStyle w:val="VerbatimChar"/>
        </w:rPr>
        <w:t xml:space="preserve">Demand</w:t>
      </w:r>
      <w:r>
        <w:t xml:space="preserve">→</w:t>
      </w:r>
      <w:r>
        <w:rPr>
          <w:rStyle w:val="VerbatimChar"/>
        </w:rPr>
        <w:t xml:space="preserve">Production</w:t>
      </w:r>
      <w:r>
        <w:t xml:space="preserve">, DELETE Ids 2 and 3, and update</w:t>
      </w:r>
      <w:r>
        <w:t xml:space="preserve"> </w:t>
      </w:r>
      <w:r>
        <w:rPr>
          <w:rStyle w:val="VerbatimChar"/>
        </w:rPr>
        <w:t xml:space="preserve">sql/tests/0019_Parts_ConsumptionMetadata_And_ScrapSource/010_Phase_E_additives.sql</w:t>
      </w:r>
      <w:r>
        <w:t xml:space="preserve"> </w:t>
      </w:r>
      <w:r>
        <w:t xml:space="preserve">(currently asserts 3 rows). Not executed this turn.</w:t>
      </w:r>
    </w:p>
    <w:bookmarkEnd w:id="57"/>
    <w:bookmarkStart w:id="58" w:name="workorder"/>
    <w:p>
      <w:pPr>
        <w:pStyle w:val="Heading3"/>
      </w:pPr>
      <w:r>
        <w:t xml:space="preserve">WorkOrder</w:t>
      </w:r>
    </w:p>
    <w:p>
      <w:pPr>
        <w:pStyle w:val="FirstParagraph"/>
      </w:pPr>
      <w:r>
        <w:t xml:space="preserve">Auto-generated internal work order. Operators never see this. v1.7 adds</w:t>
      </w:r>
      <w:r>
        <w:t xml:space="preserve"> </w:t>
      </w:r>
      <w:r>
        <w:rPr>
          <w:rStyle w:val="VerbatimChar"/>
        </w:rPr>
        <w:t xml:space="preserve">WorkOrderTypeId</w:t>
      </w:r>
      <w:r>
        <w:t xml:space="preserve"> </w:t>
      </w:r>
      <w:r>
        <w:t xml:space="preserve">(discriminator) and</w:t>
      </w:r>
      <w:r>
        <w:t xml:space="preserve"> </w:t>
      </w:r>
      <w:r>
        <w:rPr>
          <w:rStyle w:val="VerbatimChar"/>
        </w:rPr>
        <w:t xml:space="preserve">ToolId</w:t>
      </w:r>
      <w:r>
        <w:t xml:space="preserve"> </w:t>
      </w:r>
      <w:r>
        <w:t xml:space="preserve">(FUTURE Maintenance-only, nullable). v1.9b (2026-04-24) —</w:t>
      </w:r>
      <w:r>
        <w:t xml:space="preserve"> </w:t>
      </w:r>
      <w:r>
        <w:rPr>
          <w:rStyle w:val="VerbatimChar"/>
        </w:rPr>
        <w:t xml:space="preserve">WorkOrderTypeId</w:t>
      </w:r>
      <w:r>
        <w:t xml:space="preserve"> </w:t>
      </w:r>
      <w:r>
        <w:t xml:space="preserve">now defaults to the single-seeded</w:t>
      </w:r>
      <w:r>
        <w:t xml:space="preserve"> </w:t>
      </w:r>
      <w:r>
        <w:rPr>
          <w:rStyle w:val="VerbatimChar"/>
        </w:rPr>
        <w:t xml:space="preserve">Production</w:t>
      </w:r>
      <w:r>
        <w:t xml:space="preserve"> </w:t>
      </w:r>
      <w:r>
        <w:t xml:space="preserve">row;</w:t>
      </w:r>
      <w:r>
        <w:t xml:space="preserve"> </w:t>
      </w:r>
      <w:r>
        <w:rPr>
          <w:rStyle w:val="VerbatimChar"/>
        </w:rPr>
        <w:t xml:space="preserve">ToolId</w:t>
      </w:r>
      <w:r>
        <w:t xml:space="preserve"> </w:t>
      </w:r>
      <w:r>
        <w:t xml:space="preserve">FK remains as a schema hook for future Maintenance WOs without being populated in MVP.</w:t>
      </w:r>
    </w:p>
    <w:p>
      <w:pPr>
        <w:pStyle w:val="BlockText"/>
      </w:pPr>
      <w:r>
        <w:rPr>
          <w:b/>
          <w:bCs/>
        </w:rPr>
        <w:t xml:space="preserve">⚠ Implementation deferred to Arc 2 Phase 1</w:t>
      </w:r>
      <w:r>
        <w:t xml:space="preserve"> </w:t>
      </w:r>
      <w:r>
        <w:t xml:space="preserve">(discovered 2026-04-22 during Phase G scoping). The</w:t>
      </w:r>
      <w:r>
        <w:t xml:space="preserve"> </w:t>
      </w:r>
      <w:r>
        <w:rPr>
          <w:rStyle w:val="VerbatimChar"/>
        </w:rPr>
        <w:t xml:space="preserve">Workorder.WorkOrder</w:t>
      </w:r>
      <w:r>
        <w:t xml:space="preserve"> </w:t>
      </w:r>
      <w:r>
        <w:t xml:space="preserve">table itself does not yet exist — Phases 1–8 built only the</w:t>
      </w:r>
      <w:r>
        <w:t xml:space="preserve"> </w:t>
      </w:r>
      <w:r>
        <w:rPr>
          <w:rStyle w:val="VerbatimChar"/>
        </w:rPr>
        <w:t xml:space="preserve">WorkOrderStatus</w:t>
      </w:r>
      <w:r>
        <w:t xml:space="preserve"> </w:t>
      </w:r>
      <w:r>
        <w:t xml:space="preserve">+</w:t>
      </w:r>
      <w:r>
        <w:t xml:space="preserve"> </w:t>
      </w:r>
      <w:r>
        <w:rPr>
          <w:rStyle w:val="VerbatimChar"/>
        </w:rPr>
        <w:t xml:space="preserve">OperationStatus</w:t>
      </w:r>
      <w:r>
        <w:t xml:space="preserve"> </w:t>
      </w:r>
      <w:r>
        <w:t xml:space="preserve">code tables. The v1.7 Phase B spec wrote these as</w:t>
      </w:r>
      <w:r>
        <w:t xml:space="preserve"> </w:t>
      </w:r>
      <w:r>
        <w:rPr>
          <w:i/>
          <w:iCs/>
        </w:rPr>
        <w:t xml:space="preserve">ALTER ADD COLUMN</w:t>
      </w:r>
      <w:r>
        <w:t xml:space="preserve">, but there’s no table to ALTER. Arc 2 Phase 1 CREATEs</w:t>
      </w:r>
      <w:r>
        <w:t xml:space="preserve"> </w:t>
      </w:r>
      <w:r>
        <w:rPr>
          <w:rStyle w:val="VerbatimChar"/>
        </w:rPr>
        <w:t xml:space="preserve">Workorder.WorkOrder</w:t>
      </w:r>
      <w:r>
        <w:t xml:space="preserve"> </w:t>
      </w:r>
      <w:r>
        <w:t xml:space="preserve">with</w:t>
      </w:r>
      <w:r>
        <w:t xml:space="preserve"> </w:t>
      </w:r>
      <w:r>
        <w:rPr>
          <w:rStyle w:val="VerbatimChar"/>
        </w:rPr>
        <w:t xml:space="preserve">WorkOrderTypeId</w:t>
      </w:r>
      <w:r>
        <w:t xml:space="preserve"> </w:t>
      </w:r>
      <w:r>
        <w:t xml:space="preserve">(FK →</w:t>
      </w:r>
      <w:r>
        <w:t xml:space="preserve"> </w:t>
      </w:r>
      <w:r>
        <w:rPr>
          <w:rStyle w:val="VerbatimChar"/>
        </w:rPr>
        <w:t xml:space="preserve">Workorder.WorkOrderType</w:t>
      </w:r>
      <w:r>
        <w:t xml:space="preserve">, created in Phase G) and</w:t>
      </w:r>
      <w:r>
        <w:t xml:space="preserve"> </w:t>
      </w:r>
      <w:r>
        <w:rPr>
          <w:rStyle w:val="VerbatimChar"/>
        </w:rPr>
        <w:t xml:space="preserve">ToolId</w:t>
      </w:r>
      <w:r>
        <w:t xml:space="preserve"> </w:t>
      </w:r>
      <w:r>
        <w:t xml:space="preserve">(FK →</w:t>
      </w:r>
      <w:r>
        <w:t xml:space="preserve"> </w:t>
      </w:r>
      <w:r>
        <w:rPr>
          <w:rStyle w:val="VerbatimChar"/>
        </w:rPr>
        <w:t xml:space="preserve">Tools.Tool</w:t>
      </w:r>
      <w:r>
        <w:t xml:space="preserve">, created in Phase G) baked in from day one. The column contract described below is authoritative — it’s just the DDL verb that changes from ALTER to CREATE.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w:t>
            </w:r>
            <w:r>
              <w:t xml:space="preserve"> </w:t>
            </w:r>
            <w:r>
              <w:rPr>
                <w:b/>
                <w:bCs/>
              </w:rPr>
              <w:t xml:space="preserve">v1.9b (2026-04-24):</w:t>
            </w:r>
            <w:r>
              <w:t xml:space="preserve"> </w:t>
            </w:r>
            <w:r>
              <w:t xml:space="preserve">defaults to</w:t>
            </w:r>
            <w:r>
              <w:t xml:space="preserve"> </w:t>
            </w:r>
            <w:r>
              <w:rPr>
                <w:rStyle w:val="VerbatimChar"/>
              </w:rPr>
              <w:t xml:space="preserve">Production</w:t>
            </w:r>
            <w:r>
              <w:t xml:space="preserve"> </w:t>
            </w:r>
            <w:r>
              <w:t xml:space="preserve">(the corrected single-seed row). FUTURE Demand / Maintenance rows are added without schema change.</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as a schema hook for</w:t>
            </w:r>
            <w:r>
              <w:t xml:space="preserve"> </w:t>
            </w:r>
            <w:r>
              <w:rPr>
                <w:b/>
                <w:bCs/>
              </w:rPr>
              <w:t xml:space="preserve">FUTURE</w:t>
            </w:r>
            <w:r>
              <w:t xml:space="preserve"> </w:t>
            </w:r>
            <w:r>
              <w:t xml:space="preserve">Maintenance WOs (targets a specific Tool). Not populated in MVP. Enforced at the proc layer when Maintenance flow activates.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58"/>
    <w:bookmarkStart w:id="59"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OperatorId</w:t>
            </w:r>
          </w:p>
        </w:tc>
        <w:tc>
          <w:tcPr/>
          <w:p>
            <w:pPr>
              <w:pStyle w:val="Compact"/>
            </w:pPr>
            <w:r>
              <w:t xml:space="preserve">BIGINT</w:t>
            </w:r>
          </w:p>
        </w:tc>
        <w:tc>
          <w:tcPr/>
          <w:p>
            <w:pPr>
              <w:pStyle w:val="Compact"/>
            </w:pPr>
            <w:r>
              <w:t xml:space="preserve">FK → AppUser.Id, NULL</w:t>
            </w:r>
          </w:p>
        </w:tc>
        <w:tc>
          <w:tcPr/>
          <w:p>
            <w:pPr>
              <w:pStyle w:val="Compact"/>
            </w:pPr>
          </w:p>
        </w:tc>
      </w:tr>
    </w:tbl>
    <w:bookmarkEnd w:id="59"/>
    <w:bookmarkStart w:id="60" w:name="productionevent"/>
    <w:p>
      <w:pPr>
        <w:pStyle w:val="Heading3"/>
      </w:pPr>
      <w:r>
        <w:t xml:space="preserve">ProductionEvent</w:t>
      </w:r>
    </w:p>
    <w:p>
      <w:pPr>
        <w:pStyle w:val="FirstParagraph"/>
      </w:pPr>
      <w:r>
        <w:rPr>
          <w:b/>
          <w:bCs/>
        </w:rPr>
        <w:t xml:space="preserve">Checkpoint-shape event table (v1.9).</w:t>
      </w:r>
      <w:r>
        <w:t xml:space="preserve"> </w:t>
      </w:r>
      <w:r>
        <w:t xml:space="preserve">Per FRS §2.1.2 operator-driven capture: operators are not at the terminal for every shot — they log at checkpoints (checkout from die cast, check-in to trim, complete + move, quality-operation transitions). Each checkpoint fires one row carrying the</w:t>
      </w:r>
      <w:r>
        <w:t xml:space="preserve"> </w:t>
      </w:r>
      <w:r>
        <w:rPr>
          <w:b/>
          <w:bCs/>
        </w:rPr>
        <w:t xml:space="preserve">cumulative</w:t>
      </w:r>
      <w:r>
        <w:t xml:space="preserve"> </w:t>
      </w:r>
      <w:r>
        <w:t xml:space="preserve">counters as-of-that-moment;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A missed event doesn’t compound errors — the next event carries truth.</w:t>
      </w:r>
    </w:p>
    <w:p>
      <w:pPr>
        <w:pStyle w:val="BlockText"/>
      </w:pPr>
      <w:r>
        <w:rPr>
          <w:b/>
          <w:bCs/>
        </w:rPr>
        <w:t xml:space="preserve">⚠ Implementation deferred to Arc 2 Phase 1.</w:t>
      </w:r>
      <w:r>
        <w:t xml:space="preserve"> </w:t>
      </w:r>
      <w:r>
        <w:t xml:space="preserve">The</w:t>
      </w:r>
      <w:r>
        <w:t xml:space="preserve"> </w:t>
      </w:r>
      <w:r>
        <w:rPr>
          <w:rStyle w:val="VerbatimChar"/>
        </w:rPr>
        <w:t xml:space="preserve">Workorder.ProductionEvent</w:t>
      </w:r>
      <w:r>
        <w:t xml:space="preserve"> </w:t>
      </w:r>
      <w:r>
        <w:t xml:space="preserve">table does not exist in the Phase 1–8 codebase. Arc 2 Phase 1 CREATEs it with the full column list below. The column contract is authoritative.</w:t>
      </w:r>
    </w:p>
    <w:p>
      <w:pPr>
        <w:pStyle w:val="FirstParagraph"/>
      </w:pPr>
      <w:r>
        <w:rPr>
          <w:b/>
          <w:bCs/>
        </w:rPr>
        <w:t xml:space="preserve">What’s deliberately NOT on this table (Data Model v1.9 reshape):</w:t>
      </w:r>
      <w:r>
        <w:t xml:space="preserve"> </w:t>
      </w:r>
      <w:r>
        <w:t xml:space="preserve">-</w:t>
      </w:r>
      <w:r>
        <w:t xml:space="preserve"> </w:t>
      </w:r>
      <w:r>
        <w:rPr>
          <w:b/>
          <w:bCs/>
        </w:rPr>
        <w:t xml:space="preserve">No</w:t>
      </w:r>
      <w:r>
        <w:rPr>
          <w:b/>
          <w:bCs/>
        </w:rPr>
        <w:t xml:space="preserve"> </w:t>
      </w:r>
      <w:r>
        <w:rPr>
          <w:rStyle w:val="VerbatimChar"/>
          <w:b/>
          <w:bCs/>
        </w:rPr>
        <w:t xml:space="preserve">LocationId</w:t>
      </w:r>
      <w:r>
        <w:t xml:space="preserve"> </w:t>
      </w:r>
      <w:r>
        <w:t xml:space="preserve">—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Redundant.</w:t>
      </w:r>
      <w:r>
        <w:t xml:space="preserve"> </w:t>
      </w:r>
      <w:r>
        <w:t xml:space="preserve">-</w:t>
      </w:r>
      <w:r>
        <w:t xml:space="preserve"> </w:t>
      </w:r>
      <w:r>
        <w:rPr>
          <w:b/>
          <w:bCs/>
        </w:rPr>
        <w:t xml:space="preserve">No</w:t>
      </w:r>
      <w:r>
        <w:rPr>
          <w:b/>
          <w:bCs/>
        </w:rPr>
        <w:t xml:space="preserve"> </w:t>
      </w:r>
      <w:r>
        <w:rPr>
          <w:rStyle w:val="VerbatimChar"/>
          <w:b/>
          <w:bCs/>
        </w:rPr>
        <w:t xml:space="preserve">ItemId</w:t>
      </w:r>
      <w:r>
        <w:t xml:space="preserve"> </w:t>
      </w:r>
      <w:r>
        <w:t xml:space="preserve">— derivable from</w:t>
      </w:r>
      <w:r>
        <w:t xml:space="preserve"> </w:t>
      </w:r>
      <w:r>
        <w:rPr>
          <w:rStyle w:val="VerbatimChar"/>
        </w:rPr>
        <w:t xml:space="preserve">Lot.ItemId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DieIdentifier</w:t>
      </w:r>
      <w:r>
        <w:rPr>
          <w:b/>
          <w:bCs/>
        </w:rPr>
        <w:t xml:space="preserve"> </w:t>
      </w:r>
      <w:r>
        <w:rPr>
          <w:b/>
          <w:bCs/>
        </w:rPr>
        <w:t xml:space="preserve">/</w:t>
      </w:r>
      <w:r>
        <w:rPr>
          <w:b/>
          <w:bCs/>
        </w:rPr>
        <w:t xml:space="preserve"> </w:t>
      </w:r>
      <w:r>
        <w:rPr>
          <w:rStyle w:val="VerbatimChar"/>
          <w:b/>
          <w:bCs/>
        </w:rPr>
        <w:t xml:space="preserve">CavityNumber</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are system of record; ProductionEvent does not carry.</w:t>
      </w:r>
      <w:r>
        <w:t xml:space="preserve"> </w:t>
      </w:r>
      <w:r>
        <w:t xml:space="preserve">-</w:t>
      </w:r>
      <w:r>
        <w:t xml:space="preserve"> </w:t>
      </w:r>
      <w:r>
        <w:rPr>
          <w:b/>
          <w:bCs/>
        </w:rPr>
        <w:t xml:space="preserve">No</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 derived via</w:t>
      </w:r>
      <w:r>
        <w:t xml:space="preserve"> </w:t>
      </w:r>
      <w:r>
        <w:rPr>
          <w:rStyle w:val="VerbatimChar"/>
        </w:rPr>
        <w:t xml:space="preserve">ProductionEvent.LotId → Lot.ToolId / Lot.ToolCavityId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StartedAt</w:t>
      </w:r>
      <w:r>
        <w:rPr>
          <w:b/>
          <w:bCs/>
        </w:rPr>
        <w:t xml:space="preserve"> </w:t>
      </w:r>
      <w:r>
        <w:rPr>
          <w:b/>
          <w:bCs/>
        </w:rPr>
        <w:t xml:space="preserve">/</w:t>
      </w:r>
      <w:r>
        <w:rPr>
          <w:b/>
          <w:bCs/>
        </w:rPr>
        <w:t xml:space="preserve"> </w:t>
      </w:r>
      <w:r>
        <w:rPr>
          <w:rStyle w:val="VerbatimChar"/>
          <w:b/>
          <w:bCs/>
        </w:rPr>
        <w:t xml:space="preserve">EndedAt</w:t>
      </w:r>
      <w:r>
        <w:t xml:space="preserve"> </w:t>
      </w:r>
      <w:r>
        <w:t xml:space="preserve">— the</w:t>
      </w:r>
      <w:r>
        <w:t xml:space="preserve"> </w:t>
      </w:r>
      <w:r>
        <w:t xml:space="preserve">“start”</w:t>
      </w:r>
      <w:r>
        <w:t xml:space="preserve"> </w:t>
      </w:r>
      <w:r>
        <w:t xml:space="preserve">of any event’s interval is the previous event for the same LOT (derived via</w:t>
      </w:r>
      <w:r>
        <w:t xml:space="preserve"> </w:t>
      </w:r>
      <w:r>
        <w:rPr>
          <w:rStyle w:val="VerbatimChar"/>
        </w:rPr>
        <w:t xml:space="preserve">LAG()</w:t>
      </w:r>
      <w:r>
        <w:t xml:space="preserve">). Avoids dangling</w:t>
      </w:r>
      <w:r>
        <w:t xml:space="preserve"> </w:t>
      </w:r>
      <w:r>
        <w:t xml:space="preserve">“started-but-not-ended”</w:t>
      </w:r>
      <w:r>
        <w:t xml:space="preserve"> </w:t>
      </w:r>
      <w:r>
        <w:t xml:space="preserve">rows entirely.</w:t>
      </w:r>
      <w:r>
        <w:t xml:space="preserve"> </w:t>
      </w:r>
      <w:r>
        <w:t xml:space="preserve">-</w:t>
      </w:r>
      <w:r>
        <w:t xml:space="preserve"> </w:t>
      </w:r>
      <w:r>
        <w:rPr>
          <w:b/>
          <w:bCs/>
        </w:rPr>
        <w:t xml:space="preserve">No</w:t>
      </w:r>
      <w:r>
        <w:rPr>
          <w:b/>
          <w:bCs/>
        </w:rPr>
        <w:t xml:space="preserve"> </w:t>
      </w:r>
      <w:r>
        <w:rPr>
          <w:rStyle w:val="VerbatimChar"/>
          <w:b/>
          <w:bCs/>
        </w:rPr>
        <w:t xml:space="preserve">GoodCount</w:t>
      </w:r>
      <w:r>
        <w:rPr>
          <w:b/>
          <w:bCs/>
        </w:rPr>
        <w:t xml:space="preserve"> </w:t>
      </w:r>
      <w:r>
        <w:rPr>
          <w:b/>
          <w:bCs/>
        </w:rPr>
        <w:t xml:space="preserve">/</w:t>
      </w:r>
      <w:r>
        <w:rPr>
          <w:b/>
          <w:bCs/>
        </w:rPr>
        <w:t xml:space="preserve"> </w:t>
      </w:r>
      <w:r>
        <w:rPr>
          <w:rStyle w:val="VerbatimChar"/>
          <w:b/>
          <w:bCs/>
        </w:rPr>
        <w:t xml:space="preserve">NoGoodCount</w:t>
      </w:r>
      <w:r>
        <w:t xml:space="preserve"> </w:t>
      </w:r>
      <w:r>
        <w:t xml:space="preserve">per-event — replaced by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with</w:t>
      </w:r>
      <w:r>
        <w:t xml:space="preserve"> </w:t>
      </w:r>
      <w:r>
        <w:rPr>
          <w:rStyle w:val="VerbatimChar"/>
        </w:rPr>
        <w:t xml:space="preserve">LAG()</w:t>
      </w:r>
      <w:r>
        <w:t xml:space="preserve">-derived deltas.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Tool + Cavity derived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w:t>
            </w: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Captures the FDS-03-017a data-collection contract — what fields were required at this checkpoint. Direct FK so events remain queryable when work orders are absent (OI-07 background-only WOs).</w:t>
            </w: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Workorder.WorkOrderOperation.Id, NULL</w:t>
            </w:r>
          </w:p>
        </w:tc>
        <w:tc>
          <w:tcPr>
            <w:shd w:val="clear" w:color="auto" w:fill="F2F2F2"/>
          </w:tcPr>
          <w:tcPr/>
          <w:p>
            <w:pPr>
              <w:pStyle w:val="Compact"/>
            </w:pPr>
            <w:r>
              <w:t xml:space="preserve">Nullable (MVP-LITE WO model).</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r>
              <w:t xml:space="preserve">Checkpoint timestamp. Used with</w:t>
            </w:r>
            <w:r>
              <w:t xml:space="preserve"> </w:t>
            </w:r>
            <w:r>
              <w:rPr>
                <w:rStyle w:val="VerbatimChar"/>
              </w:rPr>
              <w:t xml:space="preserve">LAG()</w:t>
            </w:r>
            <w:r>
              <w:t xml:space="preserve"> </w:t>
            </w:r>
            <w:r>
              <w:t xml:space="preserve">for delta derivation.</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Cumulative</w:t>
            </w:r>
            <w:r>
              <w:t xml:space="preserve"> </w:t>
            </w:r>
            <w:r>
              <w:t xml:space="preserve">shot counter at event time. Reader derives</w:t>
            </w:r>
            <w:r>
              <w:t xml:space="preserve"> </w:t>
            </w:r>
            <w:r>
              <w:rPr>
                <w:rStyle w:val="VerbatimChar"/>
              </w:rPr>
              <w:t xml:space="preserve">ShotsSinceLast = ShotCount - LAG(ShotCount) OVER (PARTITION BY LotId ORDER BY EventAt)</w:t>
            </w:r>
            <w:r>
              <w:t xml:space="preserve">.</w:t>
            </w:r>
            <w:r>
              <w:t xml:space="preserve"> </w:t>
            </w:r>
            <w:r>
              <w:rPr>
                <w:b/>
                <w:bCs/>
              </w:rPr>
              <w:t xml:space="preserve">Open item</w:t>
            </w:r>
            <w:r>
              <w:t xml:space="preserve"> </w:t>
            </w:r>
            <w:r>
              <w:t xml:space="preserve">(per Decision 5 of the 2026-04-23 spec): may migrate to derived-from-aggregated-LOT-quantity before Arc 2 Phase 3 if the LOT-quantity aggregation proves authoritative for</w:t>
            </w:r>
            <w:r>
              <w:t xml:space="preserve"> </w:t>
            </w:r>
            <w:r>
              <w:t xml:space="preserve">“shots per die”</w:t>
            </w:r>
            <w:r>
              <w:t xml:space="preserve"> </w:t>
            </w:r>
            <w:r>
              <w:t xml:space="preserve">reporting. Kept nullable and provisional until resolved.</w:t>
            </w:r>
          </w:p>
        </w:tc>
      </w:tr>
      <w:tr>
        <w:tc>
          <w:tcPr/>
          <w:p>
            <w:pPr>
              <w:pStyle w:val="Compact"/>
            </w:pPr>
            <w:r>
              <w:t xml:space="preserve">ScrapCount</w:t>
            </w:r>
          </w:p>
        </w:tc>
        <w:tc>
          <w:tcPr/>
          <w:p>
            <w:pPr>
              <w:pStyle w:val="Compact"/>
            </w:pPr>
            <w:r>
              <w:t xml:space="preserve">INT</w:t>
            </w:r>
          </w:p>
        </w:tc>
        <w:tc>
          <w:tcPr/>
          <w:p>
            <w:pPr>
              <w:pStyle w:val="Compact"/>
            </w:pPr>
            <w:r>
              <w:t xml:space="preserve">NULL</w:t>
            </w:r>
          </w:p>
        </w:tc>
        <w:tc>
          <w:tcPr/>
          <w:p>
            <w:pPr>
              <w:pStyle w:val="Compact"/>
            </w:pPr>
            <w:r>
              <w:t xml:space="preserve">Cumulative scrap counter at event time. Delta via</w:t>
            </w:r>
            <w:r>
              <w:t xml:space="preserve"> </w:t>
            </w:r>
            <w:r>
              <w:rPr>
                <w:rStyle w:val="VerbatimChar"/>
              </w:rPr>
              <w:t xml:space="preserve">LAG()</w:t>
            </w:r>
            <w:r>
              <w:t xml:space="preserve">.</w:t>
            </w:r>
          </w:p>
        </w:tc>
      </w:tr>
      <w:tr>
        <w:tc>
          <w:tcPr>
            <w:shd w:val="clear" w:color="auto" w:fill="F2F2F2"/>
          </w:tcPr>
          <w:tcPr/>
          <w:p>
            <w:pPr>
              <w:pStyle w:val="Compact"/>
            </w:pPr>
            <w:r>
              <w:t xml:space="preserve">ScrapSourceId</w:t>
            </w:r>
          </w:p>
        </w:tc>
        <w:tc>
          <w:tcPr>
            <w:shd w:val="clear" w:color="auto" w:fill="F2F2F2"/>
          </w:tcPr>
          <w:tcPr/>
          <w:p>
            <w:pPr>
              <w:pStyle w:val="Compact"/>
            </w:pPr>
            <w:r>
              <w:t xml:space="preserve">BIGINT</w:t>
            </w:r>
          </w:p>
        </w:tc>
        <w:tc>
          <w:tcPr>
            <w:shd w:val="clear" w:color="auto" w:fill="F2F2F2"/>
          </w:tcPr>
          <w:tcPr/>
          <w:p>
            <w:pPr>
              <w:pStyle w:val="Compact"/>
            </w:pPr>
            <w:r>
              <w:t xml:space="preserve">FK → Workorder.ScrapSource.Id, NULL</w:t>
            </w:r>
          </w:p>
        </w:tc>
        <w:tc>
          <w:tcPr>
            <w:shd w:val="clear" w:color="auto" w:fill="F2F2F2"/>
          </w:tcPr>
          <w:tcPr/>
          <w:p>
            <w:pPr>
              <w:pStyle w:val="Compact"/>
            </w:pPr>
            <w:r>
              <w:t xml:space="preserve">Populated only when this event represents a scrap action. Distinguishes scrap-from-inventory vs scrap-from-location per OI-20. NULL for non-scrap checkpoints.</w:t>
            </w:r>
          </w:p>
        </w:tc>
      </w:tr>
      <w:tr>
        <w:tc>
          <w:tcPr/>
          <w:p>
            <w:pPr>
              <w:pStyle w:val="Compact"/>
            </w:pPr>
            <w:r>
              <w:t xml:space="preserve">WeightValue</w:t>
            </w:r>
          </w:p>
        </w:tc>
        <w:tc>
          <w:tcPr/>
          <w:p>
            <w:pPr>
              <w:pStyle w:val="Compact"/>
            </w:pPr>
            <w:r>
              <w:t xml:space="preserve">DECIMAL(12,4)</w:t>
            </w:r>
          </w:p>
        </w:tc>
        <w:tc>
          <w:tcPr/>
          <w:p>
            <w:pPr>
              <w:pStyle w:val="Compact"/>
            </w:pPr>
            <w:r>
              <w:t xml:space="preserve">NULL</w:t>
            </w:r>
          </w:p>
        </w:tc>
        <w:tc>
          <w:tcPr/>
          <w:p>
            <w:pPr>
              <w:pStyle w:val="Compact"/>
            </w:pPr>
            <w:r>
              <w:t xml:space="preserve">Captured when the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Who captured this event (initials-based per Phase 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checkpoint was registered.</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r>
              <w:t xml:space="preserve">Free-text note attached to the checkpoint.</w:t>
            </w:r>
          </w:p>
        </w:tc>
      </w:tr>
    </w:tbl>
    <w:p>
      <w:pPr>
        <w:pStyle w:val="BodyText"/>
      </w:pPr>
      <w:r>
        <w:rPr>
          <w:b/>
          <w:bCs/>
        </w:rPr>
        <w:t xml:space="preserve">Required index:</w:t>
      </w:r>
      <w:r>
        <w:t xml:space="preserve"> </w:t>
      </w:r>
      <w:r>
        <w:rPr>
          <w:rStyle w:val="VerbatimChar"/>
        </w:rPr>
        <w:t xml:space="preserve">(LotId, EventAt DESC)</w:t>
      </w:r>
      <w:r>
        <w:t xml:space="preserve"> </w:t>
      </w:r>
      <w:r>
        <w:t xml:space="preserve">—</w:t>
      </w:r>
      <w:r>
        <w:t xml:space="preserve"> </w:t>
      </w:r>
      <w:r>
        <w:t xml:space="preserve">“previous event for this LOT”</w:t>
      </w:r>
      <w:r>
        <w:t xml:space="preserve"> </w:t>
      </w:r>
      <w:r>
        <w:t xml:space="preserve">must be a single-row seek.</w:t>
      </w:r>
    </w:p>
    <w:p>
      <w:pPr>
        <w:pStyle w:val="BodyText"/>
      </w:pPr>
      <w:r>
        <w:rPr>
          <w:b/>
          <w:bCs/>
        </w:rPr>
        <w:t xml:space="preserve">Sample delta query:</w:t>
      </w:r>
    </w:p>
    <w:p>
      <w:pPr>
        <w:pStyle w:val="SourceCode"/>
      </w:pPr>
      <w:r>
        <w:rPr>
          <w:rStyle w:val="KeywordTok"/>
        </w:rPr>
        <w:t xml:space="preserve">SELECT</w:t>
      </w:r>
      <w:r>
        <w:br/>
      </w:r>
      <w:r>
        <w:rPr>
          <w:rStyle w:val="NormalTok"/>
        </w:rPr>
        <w:t xml:space="preserve">    pe.</w:t>
      </w:r>
      <w:r>
        <w:rPr>
          <w:rStyle w:val="KeywordTok"/>
        </w:rPr>
        <w:t xml:space="preserve">Id</w:t>
      </w:r>
      <w:r>
        <w:rPr>
          <w:rStyle w:val="NormalTok"/>
        </w:rPr>
        <w:t xml:space="preserve">,</w:t>
      </w:r>
      <w:r>
        <w:br/>
      </w:r>
      <w:r>
        <w:rPr>
          <w:rStyle w:val="NormalTok"/>
        </w:rPr>
        <w:t xml:space="preserve">    pe.EventAt,</w:t>
      </w:r>
      <w:r>
        <w:br/>
      </w:r>
      <w:r>
        <w:rPr>
          <w:rStyle w:val="NormalTok"/>
        </w:rPr>
        <w:t xml:space="preserve">    pe.ShotCount,</w:t>
      </w:r>
      <w:r>
        <w:br/>
      </w:r>
      <w:r>
        <w:rPr>
          <w:rStyle w:val="NormalTok"/>
        </w:rPr>
        <w:t xml:space="preserve">    pe.ShotCount </w:t>
      </w:r>
      <w:r>
        <w:rPr>
          <w:rStyle w:val="OperatorTok"/>
        </w:rPr>
        <w:t xml:space="preserve">-</w:t>
      </w:r>
      <w:r>
        <w:rPr>
          <w:rStyle w:val="NormalTok"/>
        </w:rPr>
        <w:t xml:space="preserve"> </w:t>
      </w:r>
      <w:r>
        <w:rPr>
          <w:rStyle w:val="FunctionTok"/>
        </w:rPr>
        <w:t xml:space="preserve">LAG</w:t>
      </w:r>
      <w:r>
        <w:rPr>
          <w:rStyle w:val="NormalTok"/>
        </w:rPr>
        <w:t xml:space="preserve">(pe.ShotCount)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ShotsSinceLast,</w:t>
      </w:r>
      <w:r>
        <w:br/>
      </w:r>
      <w:r>
        <w:rPr>
          <w:rStyle w:val="NormalTok"/>
        </w:rPr>
        <w:t xml:space="preserve">    pe.ScrapCount </w:t>
      </w:r>
      <w:r>
        <w:rPr>
          <w:rStyle w:val="OperatorTok"/>
        </w:rPr>
        <w:t xml:space="preserve">-</w:t>
      </w:r>
      <w:r>
        <w:rPr>
          <w:rStyle w:val="NormalTok"/>
        </w:rPr>
        <w:t xml:space="preserve"> </w:t>
      </w:r>
      <w:r>
        <w:rPr>
          <w:rStyle w:val="FunctionTok"/>
        </w:rPr>
        <w:t xml:space="preserve">LAG</w:t>
      </w:r>
      <w:r>
        <w:rPr>
          <w:rStyle w:val="NormalTok"/>
        </w:rPr>
        <w:t xml:space="preserve">(pe.ScrapCount)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ScrapSinceLast</w:t>
      </w:r>
      <w:r>
        <w:br/>
      </w:r>
      <w:r>
        <w:rPr>
          <w:rStyle w:val="KeywordTok"/>
        </w:rPr>
        <w:t xml:space="preserve">FROM</w:t>
      </w:r>
      <w:r>
        <w:rPr>
          <w:rStyle w:val="NormalTok"/>
        </w:rPr>
        <w:t xml:space="preserve"> Workorder.ProductionEvent pe</w:t>
      </w:r>
      <w:r>
        <w:br/>
      </w:r>
      <w:r>
        <w:rPr>
          <w:rStyle w:val="KeywordTok"/>
        </w:rPr>
        <w:t xml:space="preserve">WHERE</w:t>
      </w:r>
      <w:r>
        <w:rPr>
          <w:rStyle w:val="NormalTok"/>
        </w:rPr>
        <w:t xml:space="preserve"> pe.LotId </w:t>
      </w:r>
      <w:r>
        <w:rPr>
          <w:rStyle w:val="OperatorTok"/>
        </w:rPr>
        <w:t xml:space="preserve">=</w:t>
      </w:r>
      <w:r>
        <w:rPr>
          <w:rStyle w:val="NormalTok"/>
        </w:rPr>
        <w:t xml:space="preserve"> @LotId</w:t>
      </w:r>
      <w:r>
        <w:br/>
      </w:r>
      <w:r>
        <w:rPr>
          <w:rStyle w:val="KeywordTok"/>
        </w:rPr>
        <w:t xml:space="preserve">ORDER</w:t>
      </w:r>
      <w:r>
        <w:rPr>
          <w:rStyle w:val="NormalTok"/>
        </w:rPr>
        <w:t xml:space="preserve"> </w:t>
      </w:r>
      <w:r>
        <w:rPr>
          <w:rStyle w:val="KeywordTok"/>
        </w:rPr>
        <w:t xml:space="preserve">BY</w:t>
      </w:r>
      <w:r>
        <w:rPr>
          <w:rStyle w:val="NormalTok"/>
        </w:rPr>
        <w:t xml:space="preserve"> pe.EventAt;</w:t>
      </w:r>
    </w:p>
    <w:p>
      <w:pPr>
        <w:pStyle w:val="FirstParagraph"/>
      </w:pPr>
      <w:r>
        <w:rPr>
          <w:b/>
          <w:bCs/>
        </w:rPr>
        <w:t xml:space="preserve">Honda-trace (finished part → originating die):</w:t>
      </w:r>
      <w:r>
        <w:t xml:space="preserve"> </w:t>
      </w:r>
      <w:r>
        <w:t xml:space="preserve">walks</w:t>
      </w:r>
      <w:r>
        <w:t xml:space="preserve"> </w:t>
      </w:r>
      <w:r>
        <w:rPr>
          <w:rStyle w:val="VerbatimChar"/>
        </w:rPr>
        <w:t xml:space="preserve">LotGenealogy</w:t>
      </w:r>
      <w:r>
        <w:t xml:space="preserve"> </w:t>
      </w:r>
      <w:r>
        <w:t xml:space="preserve">from the finished LOT back to the die-cast-origin LOT, then reads</w:t>
      </w:r>
      <w:r>
        <w:t xml:space="preserve"> </w:t>
      </w:r>
      <w:r>
        <w:rPr>
          <w:rStyle w:val="VerbatimChar"/>
        </w:rPr>
        <w:t xml:space="preserve">Lot.ToolId</w:t>
      </w:r>
      <w:r>
        <w:t xml:space="preserve">. See Arc 2 Phase 7 narrative.</w:t>
      </w:r>
    </w:p>
    <w:p>
      <w:pPr>
        <w:pStyle w:val="BodyText"/>
      </w:pPr>
      <w:r>
        <w:rPr>
          <w:b/>
          <w:bCs/>
        </w:rPr>
        <w:t xml:space="preserve">Data collection capture:</w:t>
      </w:r>
      <w:r>
        <w:t xml:space="preserve"> </w:t>
      </w:r>
      <w:r>
        <w:t xml:space="preserve">Any</w:t>
      </w:r>
      <w:r>
        <w:t xml:space="preserve"> </w:t>
      </w:r>
      <w:r>
        <w:rPr>
          <w:rStyle w:val="VerbatimChar"/>
        </w:rPr>
        <w:t xml:space="preserve">DataCollectionField</w:t>
      </w:r>
      <w:r>
        <w:t xml:space="preserve"> </w:t>
      </w:r>
      <w:r>
        <w:t xml:space="preserve">configured on the operation template that isn’t promoted to a typed column above is captured in child</w:t>
      </w:r>
      <w:r>
        <w:t xml:space="preserve"> </w:t>
      </w:r>
      <w:r>
        <w:rPr>
          <w:rStyle w:val="VerbatimChar"/>
        </w:rPr>
        <w:t xml:space="preserve">ProductionEventValue</w:t>
      </w:r>
      <w:r>
        <w:t xml:space="preserve"> </w:t>
      </w:r>
      <w:r>
        <w:t xml:space="preserve">rows.</w:t>
      </w:r>
    </w:p>
    <w:bookmarkEnd w:id="60"/>
    <w:bookmarkStart w:id="61"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SHALL NOT also be written to</w:t>
      </w:r>
      <w:r>
        <w:t xml:space="preserve"> </w:t>
      </w:r>
      <w:r>
        <w:rPr>
          <w:rStyle w:val="VerbatimChar"/>
        </w:rPr>
        <w:t xml:space="preserve">ProductionEventValue</w:t>
      </w:r>
      <w:r>
        <w:t xml:space="preserve">. The Arc 2 Phase 1 write proc enforces this. (Pre-v1.9 the list included</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 </w:t>
      </w:r>
      <w:r>
        <w:t xml:space="preserve">— all removed from ProductionEvent in the v1.9 reshape.)</w:t>
      </w:r>
    </w:p>
    <w:bookmarkEnd w:id="61"/>
    <w:bookmarkStart w:id="62"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62"/>
    <w:bookmarkStart w:id="63"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63"/>
    <w:bookmarkEnd w:id="64"/>
    <w:bookmarkStart w:id="78"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65"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5"/>
    <w:bookmarkStart w:id="66"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66"/>
    <w:bookmarkStart w:id="67"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67"/>
    <w:bookmarkStart w:id="68"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68"/>
    <w:bookmarkStart w:id="69"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69"/>
    <w:bookmarkStart w:id="70"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70"/>
    <w:bookmarkStart w:id="71"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71"/>
    <w:bookmarkStart w:id="72"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2"/>
    <w:bookmarkStart w:id="73"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3"/>
    <w:bookmarkStart w:id="74"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4"/>
    <w:bookmarkStart w:id="75"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5"/>
    <w:bookmarkStart w:id="76"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76"/>
    <w:bookmarkStart w:id="77"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77"/>
    <w:bookmarkEnd w:id="78"/>
    <w:bookmarkStart w:id="86"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79"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9"/>
    <w:bookmarkStart w:id="80"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0"/>
    <w:bookmarkStart w:id="81"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1"/>
    <w:bookmarkStart w:id="82"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82"/>
    <w:bookmarkStart w:id="83"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3"/>
    <w:bookmarkStart w:id="84"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lockText"/>
      </w:pPr>
      <w:r>
        <w:t xml:space="preserve">🔶</w:t>
      </w:r>
      <w:r>
        <w:t xml:space="preserve"> </w:t>
      </w:r>
      <w:r>
        <w:rPr>
          <w:b/>
          <w:bCs/>
        </w:rPr>
        <w:t xml:space="preserve">PENDING INTERNAL REVIEW — UJ-14: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 Needs review with Ben.</w:t>
      </w:r>
    </w:p>
    <w:bookmarkEnd w:id="84"/>
    <w:bookmarkStart w:id="85"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85"/>
    <w:bookmarkEnd w:id="86"/>
    <w:bookmarkStart w:id="99"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87"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87"/>
    <w:bookmarkStart w:id="88"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UI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88"/>
    <w:bookmarkStart w:id="89"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89"/>
    <w:bookmarkStart w:id="90"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No shot counter column.</w:t>
      </w:r>
      <w:r>
        <w:t xml:space="preserve"> </w:t>
      </w:r>
      <w:r>
        <w:t xml:space="preserve">Shot counts derive from</w:t>
      </w:r>
      <w:r>
        <w:t xml:space="preserve"> </w:t>
      </w:r>
      <w:r>
        <w:rPr>
          <w:rStyle w:val="VerbatimChar"/>
        </w:rPr>
        <w:t xml:space="preserve">Workorder.ProductionEvent</w:t>
      </w:r>
      <w:r>
        <w:t xml:space="preserve"> </w:t>
      </w:r>
      <w:r>
        <w:t xml:space="preserve">group-by</w:t>
      </w:r>
      <w:r>
        <w:t xml:space="preserve"> </w:t>
      </w:r>
      <w:r>
        <w:rPr>
          <w:rStyle w:val="VerbatimChar"/>
        </w:rPr>
        <w:t xml:space="preserve">(Tool, Cavity)</w:t>
      </w:r>
      <w:r>
        <w:t xml:space="preserve">. Rationale: avoids the double-write + drift problem between an aggregate column and the event stream; leaves all reset-logic to a future Gateway script rather than embedding it in every write path.</w:t>
      </w:r>
    </w:p>
    <w:bookmarkEnd w:id="90"/>
    <w:bookmarkStart w:id="91"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91"/>
    <w:bookmarkStart w:id="92"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CavityNumber</w:t>
            </w:r>
          </w:p>
        </w:tc>
        <w:tc>
          <w:tcPr/>
          <w:p>
            <w:pPr>
              <w:pStyle w:val="Compact"/>
            </w:pPr>
            <w:r>
              <w:t xml:space="preserve">INT</w:t>
            </w:r>
          </w:p>
        </w:tc>
        <w:tc>
          <w:tcPr/>
          <w:p>
            <w:pPr>
              <w:pStyle w:val="Compact"/>
            </w:pPr>
            <w:r>
              <w:t xml:space="preserve">NOT NULL</w:t>
            </w:r>
          </w:p>
        </w:tc>
        <w:tc>
          <w:tcPr/>
          <w:p>
            <w:pPr>
              <w:pStyle w:val="Compact"/>
            </w:pPr>
            <w:r>
              <w:t xml:space="preserve">1, 2, 3, … up to the die’s cavity count</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UQ_ToolCavity_ActiveToolCavityNumber</w:t>
      </w:r>
      <w:r>
        <w:t xml:space="preserve"> </w:t>
      </w:r>
      <w:r>
        <w:t xml:space="preserve">— filtered UNIQUE</w:t>
      </w:r>
      <w:r>
        <w:t xml:space="preserve"> </w:t>
      </w:r>
      <w:r>
        <w:rPr>
          <w:rStyle w:val="VerbatimChar"/>
        </w:rPr>
        <w:t xml:space="preserve">(ToolId, CavityNumber)</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92"/>
    <w:bookmarkStart w:id="93"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 constraints (migration</w:t>
      </w:r>
      <w:r>
        <w:rPr>
          <w:b/>
          <w:bCs/>
        </w:rPr>
        <w:t xml:space="preserve"> </w:t>
      </w:r>
      <w:r>
        <w:rPr>
          <w:rStyle w:val="VerbatimChar"/>
          <w:b/>
          <w:bCs/>
        </w:rPr>
        <w:t xml:space="preserve">0010_phase9_tools_and_workorder.sql</w:t>
      </w:r>
      <w:r>
        <w:rPr>
          <w:b/>
          <w:bCs/>
        </w:rPr>
        <w:t xml:space="preserve">):</w:t>
      </w:r>
      <w:r>
        <w:t xml:space="preserve"> </w:t>
      </w:r>
      <w:r>
        <w:t xml:space="preserve">-</w:t>
      </w:r>
      <w:r>
        <w:t xml:space="preserve"> </w:t>
      </w:r>
      <w:r>
        <w:rPr>
          <w:rStyle w:val="VerbatimChar"/>
        </w:rPr>
        <w:t xml:space="preserve">UQ_ToolAssignment_ActiveTool</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r>
        <w:t xml:space="preserve"> </w:t>
      </w:r>
      <w:r>
        <w:t xml:space="preserve">-</w:t>
      </w:r>
      <w:r>
        <w:t xml:space="preserve"> </w:t>
      </w:r>
      <w:r>
        <w:rPr>
          <w:rStyle w:val="VerbatimChar"/>
        </w:rPr>
        <w:t xml:space="preserve">UQ_ToolAssignment_ActiveCell</w:t>
      </w:r>
      <w:r>
        <w:t xml:space="preserve"> </w:t>
      </w:r>
      <w:r>
        <w:t xml:space="preserve">— filtered UNIQUE on</w:t>
      </w:r>
      <w:r>
        <w:t xml:space="preserve"> </w:t>
      </w:r>
      <w:r>
        <w:rPr>
          <w:rStyle w:val="VerbatimChar"/>
        </w:rPr>
        <w:t xml:space="preserve">CellLocationId</w:t>
      </w:r>
      <w:r>
        <w:t xml:space="preserve"> </w:t>
      </w:r>
      <w:r>
        <w:t xml:space="preserve">where</w:t>
      </w:r>
      <w:r>
        <w:t xml:space="preserve"> </w:t>
      </w:r>
      <w:r>
        <w:rPr>
          <w:rStyle w:val="VerbatimChar"/>
        </w:rPr>
        <w:t xml:space="preserve">ReleasedAt IS NULL</w:t>
      </w:r>
      <w:r>
        <w:t xml:space="preserve">. Enforces</w:t>
      </w:r>
      <w:r>
        <w:t xml:space="preserve"> </w:t>
      </w:r>
      <w:r>
        <w:rPr>
          <w:b/>
          <w:bCs/>
        </w:rPr>
        <w:t xml:space="preserve">one active mounted Tool per Cell</w:t>
      </w:r>
      <w:r>
        <w:t xml:space="preserve"> </w:t>
      </w:r>
      <w:r>
        <w:t xml:space="preserve">— correct for Die Cast.</w:t>
      </w:r>
    </w:p>
    <w:p>
      <w:pPr>
        <w:pStyle w:val="BodyText"/>
      </w:pPr>
      <w:r>
        <w:rPr>
          <w:b/>
          <w:bCs/>
        </w:rPr>
        <w:t xml:space="preserve">Known limitation (flagged v1.9, non-blocking for MVP):</w:t>
      </w:r>
      <w:r>
        <w:t xml:space="preserve"> </w:t>
      </w:r>
      <w:r>
        <w:t xml:space="preserve">The</w:t>
      </w:r>
      <w:r>
        <w:t xml:space="preserve"> </w:t>
      </w:r>
      <w:r>
        <w:rPr>
          <w:rStyle w:val="VerbatimChar"/>
        </w:rPr>
        <w:t xml:space="preserve">UQ_ToolAssignment_ActiveCell</w:t>
      </w:r>
      <w:r>
        <w:t xml:space="preserve"> </w:t>
      </w:r>
      <w:r>
        <w:t xml:space="preserve">rule is</w:t>
      </w:r>
      <w:r>
        <w:t xml:space="preserve"> </w:t>
      </w:r>
      <w:r>
        <w:rPr>
          <w:b/>
          <w:bCs/>
        </w:rPr>
        <w:t xml:space="preserve">Die-only-correct</w:t>
      </w:r>
      <w:r>
        <w:t xml:space="preserve">. When non-Die Tool types activate (Machining cutters/fixtures/jigs coexist on a cell; Trim dies + deburr tools + jigs; Assembly fixtures + jigs + gauges), this constraint breaks. Tool tracking is Die-focused in MVP, so the constraint doesn’t bite yet. Post-MVP adjustment path: either scope the UNIQUE to</w:t>
      </w:r>
      <w:r>
        <w:t xml:space="preserve"> </w:t>
      </w:r>
      <w:r>
        <w:rPr>
          <w:rStyle w:val="VerbatimChar"/>
        </w:rPr>
        <w:t xml:space="preserve">(CellLocationId, ToolTypeId=Die)</w:t>
      </w:r>
      <w:r>
        <w:t xml:space="preserve"> </w:t>
      </w:r>
      <w:r>
        <w:t xml:space="preserve">by joining</w:t>
      </w:r>
      <w:r>
        <w:t xml:space="preserve"> </w:t>
      </w:r>
      <w:r>
        <w:rPr>
          <w:rStyle w:val="VerbatimChar"/>
        </w:rPr>
        <w:t xml:space="preserve">Tool.ToolTypeId</w:t>
      </w:r>
      <w:r>
        <w:t xml:space="preserve"> </w:t>
      </w:r>
      <w:r>
        <w:t xml:space="preserve">via an indexed view or a filtered-on-Die filtered unique, OR drop the Cell UNIQUE entirely and let</w:t>
      </w:r>
      <w:r>
        <w:t xml:space="preserve"> </w:t>
      </w:r>
      <w:r>
        <w:rPr>
          <w:rStyle w:val="VerbatimChar"/>
        </w:rPr>
        <w:t xml:space="preserve">UQ_ToolAssignment_ActiveTool</w:t>
      </w:r>
      <w:r>
        <w:t xml:space="preserve"> </w:t>
      </w:r>
      <w:r>
        <w:t xml:space="preserve">carry the rule. Either is a one-migration refactor when the time comes.</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93"/>
    <w:bookmarkStart w:id="94"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94"/>
    <w:bookmarkStart w:id="95"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95"/>
    <w:bookmarkStart w:id="96"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96"/>
    <w:bookmarkStart w:id="97"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97"/>
    <w:bookmarkStart w:id="98" w:name="cross-references"/>
    <w:p>
      <w:pPr>
        <w:pStyle w:val="Heading3"/>
      </w:pPr>
      <w:r>
        <w:t xml:space="preserve">Cross-references</w:t>
      </w:r>
    </w:p>
    <w:p>
      <w:pPr>
        <w:pStyle w:val="Compact"/>
        <w:numPr>
          <w:ilvl w:val="0"/>
          <w:numId w:val="1005"/>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Populated only for</w:t>
      </w:r>
      <w:r>
        <w:t xml:space="preserve"> </w:t>
      </w:r>
      <w:r>
        <w:rPr>
          <w:rStyle w:val="VerbatimChar"/>
        </w:rPr>
        <w:t xml:space="preserve">WorkOrderType = Maintenance</w:t>
      </w:r>
      <w:r>
        <w:t xml:space="preserve"> </w:t>
      </w:r>
      <w:r>
        <w:t xml:space="preserve">(enforced at proc layer; Recipe WOs legitimately have NULL</w:t>
      </w:r>
      <w:r>
        <w:t xml:space="preserve"> </w:t>
      </w:r>
      <w:r>
        <w:rPr>
          <w:rStyle w:val="VerbatimChar"/>
        </w:rPr>
        <w:t xml:space="preserve">ToolId</w:t>
      </w:r>
      <w:r>
        <w:t xml:space="preserve">).</w:t>
      </w:r>
    </w:p>
    <w:p>
      <w:pPr>
        <w:pStyle w:val="Compact"/>
        <w:numPr>
          <w:ilvl w:val="0"/>
          <w:numId w:val="1005"/>
        </w:numPr>
      </w:pPr>
      <w:r>
        <w:rPr>
          <w:b/>
          <w:bCs/>
        </w:rPr>
        <w:t xml:space="preserve">Workorder.ProductionEvent.DieIdentifier</w:t>
      </w:r>
      <w:r>
        <w:t xml:space="preserve"> </w:t>
      </w:r>
      <w:r>
        <w:t xml:space="preserve">(§4) — historical NVARCHAR snapshot of the die at event time. Not an FK. A parallel</w:t>
      </w:r>
      <w:r>
        <w:t xml:space="preserve"> </w:t>
      </w:r>
      <w:r>
        <w:rPr>
          <w:rStyle w:val="VerbatimChar"/>
        </w:rPr>
        <w:t xml:space="preserve">ToolId BIGINT FK</w:t>
      </w:r>
      <w:r>
        <w:t xml:space="preserve"> </w:t>
      </w:r>
      <w:r>
        <w:t xml:space="preserve">may be added in a later phase for analytics joins; the NVARCHAR stays as the as-captured value (survives tool rename/replacement).</w:t>
      </w:r>
    </w:p>
    <w:p>
      <w:pPr>
        <w:pStyle w:val="Compact"/>
        <w:numPr>
          <w:ilvl w:val="0"/>
          <w:numId w:val="1005"/>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05"/>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 A second row for</w:t>
      </w:r>
      <w:r>
        <w:t xml:space="preserve"> </w:t>
      </w:r>
      <w:r>
        <w:rPr>
          <w:rStyle w:val="VerbatimChar"/>
        </w:rPr>
        <w:t xml:space="preserve">ItemTransform</w:t>
      </w:r>
      <w:r>
        <w:t xml:space="preserve"> </w:t>
      </w:r>
      <w:r>
        <w:t xml:space="preserve">was removed after OI-11 resolved via 1-line BOM (no new table).</w:t>
      </w:r>
    </w:p>
    <w:p>
      <w:r>
        <w:pict>
          <v:rect style="width:0;height:1.5pt" o:hralign="center" o:hrstd="t" o:hr="t"/>
        </w:pict>
      </w:r>
    </w:p>
    <w:bookmarkEnd w:id="98"/>
    <w:bookmarkEnd w:id="99"/>
    <w:bookmarkStart w:id="107"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100"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00"/>
    <w:bookmarkStart w:id="101"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1"/>
    <w:bookmarkStart w:id="102"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2"/>
    <w:bookmarkStart w:id="103"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3"/>
    <w:bookmarkStart w:id="104"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04"/>
    <w:bookmarkStart w:id="105"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05"/>
    <w:bookmarkStart w:id="106"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2026-04-24T21:35:14Z</dcterms:created>
  <dcterms:modified xsi:type="dcterms:W3CDTF">2026-04-24T21:35:14Z</dcterms:modified>
</cp:coreProperties>
</file>

<file path=docProps/custom.xml><?xml version="1.0" encoding="utf-8"?>
<Properties xmlns="http://schemas.openxmlformats.org/officeDocument/2006/custom-properties" xmlns:vt="http://schemas.openxmlformats.org/officeDocument/2006/docPropsVTypes"/>
</file>