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1"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0.11c — Working Draft</w:t>
      </w:r>
      <w:r>
        <w:t xml:space="preserve"> </w:t>
      </w:r>
      <w:r>
        <w:rPr>
          <w:b/>
          <w:bCs/>
        </w:rPr>
        <w:t xml:space="preserve">Date:</w:t>
      </w:r>
      <w:r>
        <w:t xml:space="preserve"> </w:t>
      </w:r>
      <w:r>
        <w:t xml:space="preserve">2026-04-24</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r>
        <w:tc>
          <w:tcPr>
            <w:shd w:val="clear" w:color="auto" w:fill="F2F2F2"/>
          </w:tcPr>
          <w:tcPr/>
          <w:p>
            <w:pPr>
              <w:pStyle w:val="Compact"/>
            </w:pPr>
            <w:r>
              <w:t xml:space="preserve">0.11c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OI-12 correction —</w:t>
            </w:r>
            <w:r>
              <w:rPr>
                <w:b/>
                <w:bCs/>
              </w:rPr>
              <w:t xml:space="preserve"> </w:t>
            </w:r>
            <w:r>
              <w:rPr>
                <w:rStyle w:val="VerbatimChar"/>
                <w:b/>
                <w:bCs/>
              </w:rPr>
              <w:t xml:space="preserve">MaxParts</w:t>
            </w:r>
            <w:r>
              <w:rPr>
                <w:b/>
                <w:bCs/>
              </w:rPr>
              <w:t xml:space="preserve"> </w:t>
            </w:r>
            <w:r>
              <w:rPr>
                <w:b/>
                <w:bCs/>
              </w:rPr>
              <w:t xml:space="preserve">reclassified as a Part attribute.</w:t>
            </w:r>
            <w:r>
              <w:t xml:space="preserve"> </w:t>
            </w:r>
            <w:r>
              <w:t xml:space="preserve">Per Jacques’s 2026-04-24 OIR review, the</w:t>
            </w:r>
            <w:r>
              <w:t xml:space="preserve"> </w:t>
            </w:r>
            <w:r>
              <w:rPr>
                <w:rStyle w:val="VerbatimChar"/>
              </w:rPr>
              <w:t xml:space="preserve">MaxParts</w:t>
            </w:r>
            <w:r>
              <w:t xml:space="preserve"> </w:t>
            </w:r>
            <w:r>
              <w:t xml:space="preserve">cap belongs on</w:t>
            </w:r>
            <w:r>
              <w:t xml:space="preserve"> </w:t>
            </w:r>
            <w:r>
              <w:rPr>
                <w:rStyle w:val="VerbatimChar"/>
              </w:rPr>
              <w:t xml:space="preserve">Parts.Item</w:t>
            </w:r>
            <w:r>
              <w:t xml:space="preserve">, not on</w:t>
            </w:r>
            <w:r>
              <w:t xml:space="preserve"> </w:t>
            </w:r>
            <w:r>
              <w:rPr>
                <w:rStyle w:val="VerbatimChar"/>
              </w:rPr>
              <w:t xml:space="preserve">Parts.ContainerConfig</w:t>
            </w:r>
            <w:r>
              <w:t xml:space="preserve"> </w:t>
            </w:r>
            <w:r>
              <w:t xml:space="preserve">— it’s evaluated when inventory is checked into a Location, against the Part identity. FDS-03-019 rewritten: target is</w:t>
            </w:r>
            <w:r>
              <w:t xml:space="preserve"> </w:t>
            </w:r>
            <w:r>
              <w:rPr>
                <w:rStyle w:val="VerbatimChar"/>
              </w:rPr>
              <w:t xml:space="preserve">Parts.Item.MaxParts</w:t>
            </w:r>
            <w:r>
              <w:t xml:space="preserve"> </w:t>
            </w:r>
            <w:r>
              <w:t xml:space="preserve">(per-Item per-Location cap); validation fires on</w:t>
            </w:r>
            <w:r>
              <w:t xml:space="preserve"> </w:t>
            </w:r>
            <w:r>
              <w:rPr>
                <w:rStyle w:val="VerbatimChar"/>
              </w:rPr>
              <w:t xml:space="preserve">LotMovement</w:t>
            </w:r>
            <w:r>
              <w:t xml:space="preserve"> </w:t>
            </w:r>
            <w:r>
              <w:t xml:space="preserve">to a Cell, summing existing pieces of this Item already at the destination Location + incoming quantity. Complementary FDS-03-020 (Location-scoped</w:t>
            </w:r>
            <w:r>
              <w:t xml:space="preserve"> </w:t>
            </w:r>
            <w:r>
              <w:rPr>
                <w:rStyle w:val="VerbatimChar"/>
              </w:rPr>
              <w:t xml:space="preserve">LinesideLimit</w:t>
            </w:r>
            <w:r>
              <w:t xml:space="preserve">) unchanged; the two caps are orthogonal. Data Model v1.9c carries the column relocation.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test 0019 update).</w:t>
            </w:r>
          </w:p>
        </w:tc>
      </w:tr>
      <w:tr>
        <w:tc>
          <w:tcPr/>
          <w:p>
            <w:pPr>
              <w:pStyle w:val="Compact"/>
            </w:pPr>
            <w:r>
              <w:t xml:space="preserve">0.11b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§6.10 WorkOrderType correction (OI-07).</w:t>
            </w:r>
            <w:r>
              <w:t xml:space="preserve"> </w:t>
            </w:r>
            <w:r>
              <w:t xml:space="preserve">Jacques clarified 2026-04-24 that the 2026-04-20</w:t>
            </w:r>
            <w:r>
              <w:t xml:space="preserve"> </w:t>
            </w:r>
            <w:r>
              <w:t xml:space="preserve">“Recipe”</w:t>
            </w:r>
            <w:r>
              <w:t xml:space="preserve"> </w:t>
            </w:r>
            <w:r>
              <w:t xml:space="preserve">meeting note was mis-recorded — it was describing the</w:t>
            </w:r>
            <w:r>
              <w:t xml:space="preserve"> </w:t>
            </w:r>
            <w:r>
              <w:rPr>
                <w:b/>
                <w:bCs/>
              </w:rPr>
              <w:t xml:space="preserve">Production</w:t>
            </w:r>
            <w:r>
              <w:t xml:space="preserve"> </w:t>
            </w:r>
            <w:r>
              <w:t xml:space="preserve">work orders (MVP-LITE, invisible to operators) already in the design, not a separate type. Under MPP’s taxonomy,</w:t>
            </w:r>
            <w:r>
              <w:t xml:space="preserve"> </w:t>
            </w:r>
            <w:r>
              <w:rPr>
                <w:rStyle w:val="VerbatimChar"/>
              </w:rPr>
              <w:t xml:space="preserve">Demand</w:t>
            </w:r>
            <w:r>
              <w:t xml:space="preserve"> </w:t>
            </w:r>
            <w:r>
              <w:t xml:space="preserve">= planned PM and</w:t>
            </w:r>
            <w:r>
              <w:t xml:space="preserve"> </w:t>
            </w:r>
            <w:r>
              <w:rPr>
                <w:rStyle w:val="VerbatimChar"/>
              </w:rPr>
              <w:t xml:space="preserve">Maintenance</w:t>
            </w:r>
            <w:r>
              <w:t xml:space="preserve"> </w:t>
            </w:r>
            <w:r>
              <w:t xml:space="preserve">= emergency, both genuinely separate but both FUTURE (out of scope for this project). §6.10 edits: FDS-06-022 renamed</w:t>
            </w:r>
            <w:r>
              <w:t xml:space="preserve"> </w:t>
            </w:r>
            <w:r>
              <w:t xml:space="preserve">“Work Order Auto-Generation (Demand Type)”</w:t>
            </w:r>
            <w:r>
              <w:t xml:space="preserve"> </w:t>
            </w:r>
            <w:r>
              <w:t xml:space="preserve">→</w:t>
            </w:r>
            <w:r>
              <w:t xml:space="preserve"> </w:t>
            </w:r>
            <w:r>
              <w:t xml:space="preserve">“(Production Type)”</w:t>
            </w:r>
            <w:r>
              <w:t xml:space="preserve">; FDS-06-025 seed table reduced from 3 active rows to 1 (</w:t>
            </w:r>
            <w:r>
              <w:rPr>
                <w:rStyle w:val="VerbatimChar"/>
              </w:rPr>
              <w:t xml:space="preserve">Production</w:t>
            </w:r>
            <w:r>
              <w:t xml:space="preserve">), with</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moved to a FUTURE-only list; FDS-06-026 Maintenance FUTURE section retained as the schema-hook reference;</w:t>
            </w:r>
            <w:r>
              <w:t xml:space="preserve"> </w:t>
            </w:r>
            <w:r>
              <w:rPr>
                <w:b/>
                <w:bCs/>
              </w:rPr>
              <w:t xml:space="preserve">FDS-06-027 Recipe Work Orders — DELETED entirely</w:t>
            </w:r>
            <w:r>
              <w:t xml:space="preserve"> </w:t>
            </w:r>
            <w:r>
              <w:t xml:space="preserve">(no such concept exists); FDS-06-028 auto-finish language updated from</w:t>
            </w:r>
            <w:r>
              <w:t xml:space="preserve"> </w:t>
            </w:r>
            <w:r>
              <w:t xml:space="preserve">“Demand Work Orders”</w:t>
            </w:r>
            <w:r>
              <w:t xml:space="preserve"> </w:t>
            </w:r>
            <w:r>
              <w:t xml:space="preserve">→</w:t>
            </w:r>
            <w:r>
              <w:t xml:space="preserve"> </w:t>
            </w:r>
            <w:r>
              <w:t xml:space="preserve">“Production Work Orders”</w:t>
            </w:r>
            <w:r>
              <w:t xml:space="preserve">. Data model v1.9b, OIR v2.9, Arc 2 Plan v0.2, and ERD updated in matching commits. SQL seed correction queued (versioned migration + test 0019 update) — not executed this turn.</w:t>
            </w:r>
          </w:p>
        </w:tc>
      </w:tr>
      <w:tr>
        <w:tc>
          <w:tcPr>
            <w:shd w:val="clear" w:color="auto" w:fill="F2F2F2"/>
          </w:tcPr>
          <w:tcPr/>
          <w:p>
            <w:pPr>
              <w:pStyle w:val="Compact"/>
            </w:pPr>
            <w:r>
              <w:t xml:space="preserve">0.11</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on Lot, ProductionEvent checkpoint shape, Identifier Sequences, cavity-parallel LOT pattern codified.</w:t>
            </w:r>
            <w:r>
              <w:t xml:space="preserve"> </w:t>
            </w:r>
            <w:r>
              <w:t xml:space="preserve">New requirements land across §§3.4, 5.1, 5.2, 5.3, 5.4, 5.5, 6.2, 6.10, plus a new section on identifier sequences:</w:t>
            </w:r>
            <w:r>
              <w:t xml:space="preserve">•</w:t>
            </w:r>
            <w:r>
              <w:t xml:space="preserve"> </w:t>
            </w:r>
            <w:r>
              <w:rPr>
                <w:b/>
                <w:bCs/>
              </w:rPr>
              <w:t xml:space="preserve">§3.4 FDS-03-017a rewritten</w:t>
            </w:r>
            <w:r>
              <w:t xml:space="preserve"> </w:t>
            </w:r>
            <w:r>
              <w:t xml:space="preserve">—</w:t>
            </w:r>
            <w:r>
              <w:t xml:space="preserve"> </w:t>
            </w:r>
            <w:r>
              <w:rPr>
                <w:rStyle w:val="VerbatimChar"/>
              </w:rPr>
              <w:t xml:space="preserve">ProductionEvent</w:t>
            </w:r>
            <w:r>
              <w:t xml:space="preserve"> </w:t>
            </w:r>
            <w:r>
              <w:t xml:space="preserve">is now a checkpoint shape (cumulative</w:t>
            </w:r>
            <w:r>
              <w:t xml:space="preserve"> </w:t>
            </w:r>
            <w:r>
              <w:rPr>
                <w:rStyle w:val="VerbatimChar"/>
              </w:rPr>
              <w:t xml:space="preserve">ShotCount</w:t>
            </w:r>
            <w:r>
              <w:t xml:space="preserve">/</w:t>
            </w:r>
            <w:r>
              <w:rPr>
                <w:rStyle w:val="VerbatimChar"/>
              </w:rPr>
              <w:t xml:space="preserve">ScrapCount</w:t>
            </w:r>
            <w:r>
              <w:t xml:space="preserve">, no</w:t>
            </w:r>
            <w:r>
              <w:t xml:space="preserve"> </w:t>
            </w:r>
            <w:r>
              <w:rPr>
                <w:rStyle w:val="VerbatimChar"/>
              </w:rPr>
              <w:t xml:space="preserve">DieIdentifier</w:t>
            </w:r>
            <w:r>
              <w:t xml:space="preserve">/</w:t>
            </w:r>
            <w:r>
              <w:rPr>
                <w:rStyle w:val="VerbatimChar"/>
              </w:rPr>
              <w:t xml:space="preserve">CavityNumber</w:t>
            </w:r>
            <w:r>
              <w:t xml:space="preserve">/</w:t>
            </w:r>
            <w:r>
              <w:rPr>
                <w:rStyle w:val="VerbatimChar"/>
              </w:rPr>
              <w:t xml:space="preserve">LocationId</w:t>
            </w:r>
            <w:r>
              <w:t xml:space="preserve">/</w:t>
            </w:r>
            <w:r>
              <w:rPr>
                <w:rStyle w:val="VerbatimChar"/>
              </w:rPr>
              <w:t xml:space="preserve">ItemId</w:t>
            </w:r>
            <w:r>
              <w:t xml:space="preserve">/per-event</w:t>
            </w:r>
            <w:r>
              <w:t xml:space="preserve"> </w:t>
            </w:r>
            <w:r>
              <w:rPr>
                <w:rStyle w:val="VerbatimChar"/>
              </w:rPr>
              <w:t xml:space="preserve">GoodCount</w:t>
            </w:r>
            <w:r>
              <w:t xml:space="preserve">/</w:t>
            </w:r>
            <w:r>
              <w:rPr>
                <w:rStyle w:val="VerbatimChar"/>
              </w:rPr>
              <w:t xml:space="preserve">NoGoodCount</w:t>
            </w:r>
            <w:r>
              <w:t xml:space="preserve">).</w:t>
            </w:r>
            <w:r>
              <w:t xml:space="preserve"> </w:t>
            </w:r>
            <w:r>
              <w:rPr>
                <w:rStyle w:val="VerbatimChar"/>
              </w:rPr>
              <w:t xml:space="preserve">Lot.ToolId</w:t>
            </w:r>
            <w:r>
              <w:t xml:space="preserve">/</w:t>
            </w:r>
            <w:r>
              <w:rPr>
                <w:rStyle w:val="VerbatimChar"/>
              </w:rPr>
              <w:t xml:space="preserve">Lot.ToolCavityId</w:t>
            </w:r>
            <w:r>
              <w:t xml:space="preserve"> </w:t>
            </w:r>
            <w:r>
              <w:t xml:space="preserve">are the system of record — derived at read time via join, not stored on the event.</w:t>
            </w:r>
            <w:r>
              <w:t xml:space="preserve">•</w:t>
            </w:r>
            <w:r>
              <w:t xml:space="preserve"> </w:t>
            </w:r>
            <w:r>
              <w:rPr>
                <w:b/>
                <w:bCs/>
              </w:rPr>
              <w:t xml:space="preserve">§5.1 FDS-05-003 revised</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added to the LOT attributes table. Pre-v0.11</w:t>
            </w:r>
            <w:r>
              <w:t xml:space="preserve"> </w:t>
            </w:r>
            <w:r>
              <w:rPr>
                <w:rStyle w:val="VerbatimChar"/>
              </w:rPr>
              <w:t xml:space="preserve">DieNumber</w:t>
            </w:r>
            <w:r>
              <w:t xml:space="preserve">/</w:t>
            </w:r>
            <w:r>
              <w:rPr>
                <w:rStyle w:val="VerbatimChar"/>
              </w:rPr>
              <w:t xml:space="preserve">CavityNumber</w:t>
            </w:r>
            <w:r>
              <w:t xml:space="preserve"> </w:t>
            </w:r>
            <w:r>
              <w:t xml:space="preserve">NVARCHAR attributes marked legacy.</w:t>
            </w:r>
            <w:r>
              <w:t xml:space="preserve">•</w:t>
            </w:r>
            <w:r>
              <w:t xml:space="preserve"> </w:t>
            </w:r>
            <w:r>
              <w:rPr>
                <w:b/>
                <w:bCs/>
              </w:rPr>
              <w:t xml:space="preserve">§5.1 FDS-05-034 (NEW)</w:t>
            </w:r>
            <w:r>
              <w:t xml:space="preserve"> </w:t>
            </w:r>
            <w:r>
              <w:t xml:space="preserve">— Die-cast-origin LOTs SHALL require</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at</w:t>
            </w:r>
            <w:r>
              <w:t xml:space="preserve"> </w:t>
            </w:r>
            <w:r>
              <w:rPr>
                <w:rStyle w:val="VerbatimChar"/>
              </w:rPr>
              <w:t xml:space="preserve">Lot_Create</w:t>
            </w:r>
            <w:r>
              <w:t xml:space="preserve">, validated against active</w:t>
            </w:r>
            <w:r>
              <w:t xml:space="preserve"> </w:t>
            </w:r>
            <w:r>
              <w:rPr>
                <w:rStyle w:val="VerbatimChar"/>
              </w:rPr>
              <w:t xml:space="preserve">Tools.ToolAssignment</w:t>
            </w:r>
            <w:r>
              <w:t xml:space="preserve"> </w:t>
            </w:r>
            <w:r>
              <w:t xml:space="preserve">on the Cell +</w:t>
            </w:r>
            <w:r>
              <w:t xml:space="preserve"> </w:t>
            </w:r>
            <w:r>
              <w:rPr>
                <w:rStyle w:val="VerbatimChar"/>
              </w:rPr>
              <w:t xml:space="preserve">ToolCavity</w:t>
            </w:r>
            <w:r>
              <w:t xml:space="preserve"> </w:t>
            </w:r>
            <w:r>
              <w:t xml:space="preserve">belongs to Tool + Cavity Active.</w:t>
            </w:r>
            <w:r>
              <w:t xml:space="preserve">•</w:t>
            </w:r>
            <w:r>
              <w:t xml:space="preserve"> </w:t>
            </w:r>
            <w:r>
              <w:rPr>
                <w:b/>
                <w:bCs/>
              </w:rPr>
              <w:t xml:space="preserve">§5.1 FDS-05-035 (NEW)</w:t>
            </w:r>
            <w:r>
              <w:t xml:space="preserve"> </w:t>
            </w:r>
            <w:r>
              <w:t xml:space="preserve">— Tools system-of-record rule: Tool / Cavity live on</w:t>
            </w:r>
            <w:r>
              <w:t xml:space="preserve"> </w:t>
            </w:r>
            <w:r>
              <w:rPr>
                <w:rStyle w:val="VerbatimChar"/>
              </w:rPr>
              <w:t xml:space="preserve">Lot</w:t>
            </w:r>
            <w:r>
              <w:t xml:space="preserve">, NOT on</w:t>
            </w:r>
            <w:r>
              <w:t xml:space="preserve"> </w:t>
            </w:r>
            <w:r>
              <w:rPr>
                <w:rStyle w:val="VerbatimChar"/>
              </w:rPr>
              <w:t xml:space="preserve">ProductionEvent</w:t>
            </w:r>
            <w:r>
              <w:t xml:space="preserve">. Downstream LOTs do NOT carry the FKs — Honda-trace via</w:t>
            </w:r>
            <w:r>
              <w:t xml:space="preserve"> </w:t>
            </w:r>
            <w:r>
              <w:rPr>
                <w:rStyle w:val="VerbatimChar"/>
              </w:rPr>
              <w:t xml:space="preserve">LotGenealogy</w:t>
            </w:r>
            <w:r>
              <w:t xml:space="preserve"> </w:t>
            </w:r>
            <w:r>
              <w:t xml:space="preserve">recursive traversal.</w:t>
            </w:r>
            <w:r>
              <w:t xml:space="preserve">•</w:t>
            </w:r>
            <w:r>
              <w:t xml:space="preserve"> </w:t>
            </w:r>
            <w:r>
              <w:rPr>
                <w:b/>
                <w:bCs/>
              </w:rPr>
              <w:t xml:space="preserve">§5.2 FDS-05-004 revised</w:t>
            </w:r>
            <w:r>
              <w:t xml:space="preserve"> </w:t>
            </w:r>
            <w:r>
              <w:t xml:space="preserve">— Die Cast LOT creation step now auto-populates Tool from</w:t>
            </w:r>
            <w:r>
              <w:t xml:space="preserve"> </w:t>
            </w:r>
            <w:r>
              <w:rPr>
                <w:rStyle w:val="VerbatimChar"/>
              </w:rPr>
              <w:t xml:space="preserve">ToolAssignment_ListActiveByCell</w:t>
            </w:r>
            <w:r>
              <w:t xml:space="preserve">; operator confirms; elevated Edit triggers inline</w:t>
            </w:r>
            <w:r>
              <w:t xml:space="preserve"> </w:t>
            </w:r>
            <w:r>
              <w:rPr>
                <w:rStyle w:val="VerbatimChar"/>
              </w:rPr>
              <w:t xml:space="preserve">ToolAssignment_Release</w:t>
            </w:r>
            <w:r>
              <w:t xml:space="preserve">/</w:t>
            </w:r>
            <w:r>
              <w:rPr>
                <w:rStyle w:val="VerbatimChar"/>
              </w:rPr>
              <w:t xml:space="preserve">_Assign</w:t>
            </w:r>
            <w:r>
              <w:t xml:space="preserve">. Other areas (trim, machining, assembly) do not require operator Tool validation at LOT create.</w:t>
            </w:r>
            <w:r>
              <w:t xml:space="preserve">•</w:t>
            </w:r>
            <w:r>
              <w:t xml:space="preserve"> </w:t>
            </w:r>
            <w:r>
              <w:rPr>
                <w:b/>
                <w:bCs/>
              </w:rPr>
              <w:t xml:space="preserve">§5.3 FDS-05-036 (NEW)</w:t>
            </w:r>
            <w:r>
              <w:t xml:space="preserve"> </w:t>
            </w:r>
            <w:r>
              <w:t xml:space="preserve">— LOT creation is</w:t>
            </w:r>
            <w:r>
              <w:t xml:space="preserve"> </w:t>
            </w:r>
            <w:r>
              <w:rPr>
                <w:b/>
                <w:bCs/>
              </w:rPr>
              <w:t xml:space="preserve">lazy and operator-driven</w:t>
            </w:r>
            <w:r>
              <w:t xml:space="preserve">. No auto-create of N LOTs at run start. Physical-but-unlogged baskets exist until the operator logs them. Tool+Cavity assignment happens at</w:t>
            </w:r>
            <w:r>
              <w:t xml:space="preserve"> </w:t>
            </w:r>
            <w:r>
              <w:rPr>
                <w:rStyle w:val="VerbatimChar"/>
              </w:rPr>
              <w:t xml:space="preserve">Lot_Create</w:t>
            </w:r>
            <w:r>
              <w:t xml:space="preserve"> </w:t>
            </w:r>
            <w:r>
              <w:t xml:space="preserve">time.</w:t>
            </w:r>
            <w:r>
              <w:t xml:space="preserve">•</w:t>
            </w:r>
            <w:r>
              <w:t xml:space="preserve"> </w:t>
            </w:r>
            <w:r>
              <w:rPr>
                <w:b/>
                <w:bCs/>
              </w:rPr>
              <w:t xml:space="preserve">§5.3 FDS-05-037 (NEW)</w:t>
            </w:r>
            <w:r>
              <w:t xml:space="preserve"> </w:t>
            </w:r>
            <w:r>
              <w:t xml:space="preserve">— LOT close semantics: Component LOTs (Die Cast, Trim, intermediate Machining) close via explicit operator</w:t>
            </w:r>
            <w:r>
              <w:t xml:space="preserve"> </w:t>
            </w:r>
            <w:r>
              <w:t xml:space="preserve">“Complete + Move”</w:t>
            </w:r>
            <w:r>
              <w:t xml:space="preserve"> </w:t>
            </w:r>
            <w:r>
              <w:t xml:space="preserve">action — combined status transition + movement in one atomic UI action. Cavity state changes do NOT auto-close LOTs. Finished-goods LOTs MAY auto-close on container fill (§6 — Container_Complete).</w:t>
            </w:r>
            <w:r>
              <w:t xml:space="preserve">•</w:t>
            </w:r>
            <w:r>
              <w:t xml:space="preserve"> </w:t>
            </w:r>
            <w:r>
              <w:rPr>
                <w:b/>
                <w:bCs/>
              </w:rPr>
              <w:t xml:space="preserve">§5.4 restated</w:t>
            </w:r>
            <w:r>
              <w:t xml:space="preserve"> </w:t>
            </w:r>
            <w:r>
              <w:t xml:space="preserve">— Cavity-parallel LOTs at Die Cast are</w:t>
            </w:r>
            <w:r>
              <w:t xml:space="preserve"> </w:t>
            </w:r>
            <w:r>
              <w:rPr>
                <w:b/>
                <w:bCs/>
              </w:rPr>
              <w:t xml:space="preserve">peers, not sublots</w:t>
            </w:r>
            <w:r>
              <w:t xml:space="preserve"> </w:t>
            </w:r>
            <w:r>
              <w:t xml:space="preserve">(N active cavities → N parallel independent LOTs, no parent/child FK). Machining sub-LOT split remains a sublot pattern (parent FK + split genealogy). The 2026-04-20 FDS-05-023 per-cavity-sublot requirement is superseded — per-cavity LOTs are now first-class LOTs with</w:t>
            </w:r>
            <w:r>
              <w:t xml:space="preserve"> </w:t>
            </w:r>
            <w:r>
              <w:rPr>
                <w:rStyle w:val="VerbatimChar"/>
              </w:rPr>
              <w:t xml:space="preserve">ToolCavityId</w:t>
            </w:r>
            <w:r>
              <w:t xml:space="preserve"> </w:t>
            </w:r>
            <w:r>
              <w:t xml:space="preserve">set.</w:t>
            </w:r>
            <w:r>
              <w:t xml:space="preserve">•</w:t>
            </w:r>
            <w:r>
              <w:t xml:space="preserve"> </w:t>
            </w:r>
            <w:r>
              <w:rPr>
                <w:b/>
                <w:bCs/>
              </w:rPr>
              <w:t xml:space="preserve">§5.5 FDS-05-030 (NEW)</w:t>
            </w:r>
            <w:r>
              <w:t xml:space="preserve"> </w:t>
            </w:r>
            <w:r>
              <w:t xml:space="preserve">— Post-merge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can’t denormalize multiple Tools into a single FK pair. Tool-specific trace reconstructed via</w:t>
            </w:r>
            <w:r>
              <w:t xml:space="preserve"> </w:t>
            </w:r>
            <w:r>
              <w:rPr>
                <w:rStyle w:val="VerbatimChar"/>
              </w:rPr>
              <w:t xml:space="preserve">LotGenealogy</w:t>
            </w:r>
            <w:r>
              <w:t xml:space="preserve"> </w:t>
            </w:r>
            <w:r>
              <w:t xml:space="preserve">walk of pre-merge source LOTs.</w:t>
            </w:r>
            <w:r>
              <w:t xml:space="preserve">•</w:t>
            </w:r>
            <w:r>
              <w:t xml:space="preserve"> </w:t>
            </w:r>
            <w:r>
              <w:rPr>
                <w:b/>
                <w:bCs/>
              </w:rPr>
              <w:t xml:space="preserve">§6.2 FDS-06-003 revised</w:t>
            </w:r>
            <w:r>
              <w:t xml:space="preserve"> </w:t>
            </w:r>
            <w:r>
              <w:t xml:space="preserve">— Die Cast</w:t>
            </w:r>
            <w:r>
              <w:t xml:space="preserve"> </w:t>
            </w:r>
            <w:r>
              <w:rPr>
                <w:rStyle w:val="VerbatimChar"/>
              </w:rPr>
              <w:t xml:space="preserve">ProductionEvent</w:t>
            </w:r>
            <w:r>
              <w:t xml:space="preserve"> </w:t>
            </w:r>
            <w:r>
              <w:t xml:space="preserve">capture aligned to checkpoint shape (cumulative counters + delta via</w:t>
            </w:r>
            <w:r>
              <w:t xml:space="preserve"> </w:t>
            </w:r>
            <w:r>
              <w:rPr>
                <w:rStyle w:val="VerbatimChar"/>
              </w:rPr>
              <w:t xml:space="preserve">LAG()</w:t>
            </w:r>
            <w:r>
              <w:t xml:space="preserve">; no per-event</w:t>
            </w:r>
            <w:r>
              <w:t xml:space="preserve"> </w:t>
            </w:r>
            <w:r>
              <w:rPr>
                <w:rStyle w:val="VerbatimChar"/>
              </w:rPr>
              <w:t xml:space="preserve">GoodCount</w:t>
            </w:r>
            <w:r>
              <w:t xml:space="preserve">/</w:t>
            </w:r>
            <w:r>
              <w:rPr>
                <w:rStyle w:val="VerbatimChar"/>
              </w:rPr>
              <w:t xml:space="preserve">NoGoodCount</w:t>
            </w:r>
            <w:r>
              <w:t xml:space="preserve">; no</w:t>
            </w:r>
            <w:r>
              <w:t xml:space="preserve"> </w:t>
            </w:r>
            <w:r>
              <w:rPr>
                <w:rStyle w:val="VerbatimChar"/>
              </w:rPr>
              <w:t xml:space="preserve">DieIdentifier</w:t>
            </w:r>
            <w:r>
              <w:t xml:space="preserve">/</w:t>
            </w:r>
            <w:r>
              <w:rPr>
                <w:rStyle w:val="VerbatimChar"/>
              </w:rPr>
              <w:t xml:space="preserve">CavityNumber</w:t>
            </w:r>
            <w:r>
              <w:t xml:space="preserve"> </w:t>
            </w:r>
            <w:r>
              <w:t xml:space="preserve">on event — derived from Lot).</w:t>
            </w:r>
            <w:r>
              <w:t xml:space="preserve">•</w:t>
            </w:r>
            <w:r>
              <w:t xml:space="preserve"> </w:t>
            </w:r>
            <w:r>
              <w:rPr>
                <w:b/>
                <w:bCs/>
              </w:rPr>
              <w:t xml:space="preserve">§6.10 FDS-06-030 (NEW)</w:t>
            </w:r>
            <w:r>
              <w:t xml:space="preserve"> </w:t>
            </w:r>
            <w:r>
              <w:t xml:space="preserve">— Phase 0 MPP input item: WorkOrder BIT-flag enumeration (Flexware</w:t>
            </w:r>
            <w:r>
              <w:t xml:space="preserve"> </w:t>
            </w:r>
            <w:r>
              <w:rPr>
                <w:rStyle w:val="VerbatimChar"/>
              </w:rPr>
              <w:t xml:space="preserve">IsCameraProcessingEnabled</w:t>
            </w:r>
            <w:r>
              <w:t xml:space="preserve">,</w:t>
            </w:r>
            <w:r>
              <w:t xml:space="preserve"> </w:t>
            </w:r>
            <w:r>
              <w:rPr>
                <w:rStyle w:val="VerbatimChar"/>
              </w:rPr>
              <w:t xml:space="preserve">IsScaleProcessingEnabled</w:t>
            </w:r>
            <w:r>
              <w:t xml:space="preserve">,</w:t>
            </w:r>
            <w:r>
              <w:t xml:space="preserve"> </w:t>
            </w: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r>
              <w:t xml:space="preserve">,</w:t>
            </w:r>
            <w:r>
              <w:t xml:space="preserve"> </w:t>
            </w:r>
            <w:r>
              <w:rPr>
                <w:rStyle w:val="VerbatimChar"/>
              </w:rPr>
              <w:t xml:space="preserve">RecipeNumber</w:t>
            </w:r>
            <w:r>
              <w:t xml:space="preserve">,</w:t>
            </w:r>
            <w:r>
              <w:t xml:space="preserve"> </w:t>
            </w:r>
            <w:r>
              <w:rPr>
                <w:rStyle w:val="VerbatimChar"/>
              </w:rPr>
              <w:t xml:space="preserve">TrayQuantity</w:t>
            </w:r>
            <w:r>
              <w:t xml:space="preserve">,</w:t>
            </w:r>
            <w:r>
              <w:t xml:space="preserve"> </w:t>
            </w:r>
            <w:r>
              <w:rPr>
                <w:rStyle w:val="VerbatimChar"/>
              </w:rPr>
              <w:t xml:space="preserve">ReturnableDunnageCode</w:t>
            </w:r>
            <w:r>
              <w:t xml:space="preserve">,</w:t>
            </w:r>
            <w:r>
              <w:t xml:space="preserve"> </w:t>
            </w:r>
            <w:r>
              <w:rPr>
                <w:rStyle w:val="VerbatimChar"/>
              </w:rPr>
              <w:t xml:space="preserve">Customer</w:t>
            </w:r>
            <w:r>
              <w:t xml:space="preserve">). Live flags become columns on</w:t>
            </w:r>
            <w:r>
              <w:t xml:space="preserve"> </w:t>
            </w:r>
            <w:r>
              <w:rPr>
                <w:rStyle w:val="VerbatimChar"/>
              </w:rPr>
              <w:t xml:space="preserve">Workorder.WorkOrder</w:t>
            </w:r>
            <w:r>
              <w:t xml:space="preserve"> </w:t>
            </w:r>
            <w:r>
              <w:t xml:space="preserve">at Arc 2 Phase 1 CREATE; dead flags don’t ship.</w:t>
            </w:r>
            <w:r>
              <w:t xml:space="preserve">•</w:t>
            </w:r>
            <w:r>
              <w:t xml:space="preserve"> </w:t>
            </w:r>
            <w:r>
              <w:rPr>
                <w:b/>
                <w:bCs/>
              </w:rPr>
              <w:t xml:space="preserve">NEW §16 Identifier Sequences</w:t>
            </w:r>
            <w:r>
              <w:t xml:space="preserve"> </w:t>
            </w:r>
            <w:r>
              <w:t xml:space="preserve">—</w:t>
            </w:r>
            <w:r>
              <w:t xml:space="preserve"> </w:t>
            </w:r>
            <w:r>
              <w:rPr>
                <w:rStyle w:val="VerbatimChar"/>
              </w:rPr>
              <w:t xml:space="preserve">Lots.IdentifierSequence</w:t>
            </w:r>
            <w:r>
              <w:t xml:space="preserve"> </w:t>
            </w:r>
            <w:r>
              <w:t xml:space="preserve">table +</w:t>
            </w:r>
            <w:r>
              <w:t xml:space="preserve"> </w:t>
            </w:r>
            <w:r>
              <w:rPr>
                <w:rStyle w:val="VerbatimChar"/>
              </w:rPr>
              <w:t xml:space="preserve">IdentifierSequence_Next @Code</w:t>
            </w:r>
            <w:r>
              <w:t xml:space="preserve"> </w:t>
            </w:r>
            <w:r>
              <w:t xml:space="preserve">proc. Seeded at cutover from Flexware</w:t>
            </w:r>
            <w:r>
              <w:t xml:space="preserve"> </w:t>
            </w:r>
            <w:r>
              <w:rPr>
                <w:rStyle w:val="VerbatimChar"/>
              </w:rPr>
              <w:t xml:space="preserve">LastCounterValue</w:t>
            </w:r>
            <w:r>
              <w:t xml:space="preserve"> </w:t>
            </w:r>
            <w:r>
              <w:t xml:space="preserve">for</w:t>
            </w:r>
            <w:r>
              <w:t xml:space="preserve"> </w:t>
            </w:r>
            <w:r>
              <w:rPr>
                <w:rStyle w:val="VerbatimChar"/>
              </w:rPr>
              <w:t xml:space="preserve">Lot</w:t>
            </w:r>
            <w:r>
              <w:t xml:space="preserve"> </w:t>
            </w:r>
            <w:r>
              <w:t xml:space="preserve">(</w:t>
            </w:r>
            <w:r>
              <w:rPr>
                <w:rStyle w:val="VerbatimChar"/>
              </w:rPr>
              <w:t xml:space="preserve">MESL{0:D7}</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 FDS-16-001..003.</w:t>
            </w:r>
            <w:r>
              <w:t xml:space="preserve">•</w:t>
            </w:r>
            <w:r>
              <w:t xml:space="preserve"> </w:t>
            </w:r>
            <w:r>
              <w:rPr>
                <w:b/>
                <w:bCs/>
              </w:rPr>
              <w:t xml:space="preserve">Cross-cutting guidance</w:t>
            </w:r>
            <w:r>
              <w:t xml:space="preserve"> </w:t>
            </w:r>
            <w:r>
              <w:t xml:space="preserve">— Per-terminal-function purpose-built Perspective views; LocationAttribute used for business policies only, never UI config. Flexware’s</w:t>
            </w:r>
            <w:r>
              <w:t xml:space="preserve"> </w:t>
            </w:r>
            <w:r>
              <w:rPr>
                <w:rStyle w:val="VerbatimChar"/>
              </w:rPr>
              <w:t xml:space="preserve">*DashboardConfiguration</w:t>
            </w:r>
            <w:r>
              <w:t xml:space="preserve"> </w:t>
            </w:r>
            <w:r>
              <w:t xml:space="preserve">family and</w:t>
            </w:r>
            <w:r>
              <w:t xml:space="preserve"> </w:t>
            </w:r>
            <w:r>
              <w:rPr>
                <w:rStyle w:val="VerbatimChar"/>
              </w:rPr>
              <w:t xml:space="preserve">UserInterfaceScript</w:t>
            </w:r>
            <w:r>
              <w:t xml:space="preserve"> </w:t>
            </w:r>
            <w:r>
              <w:t xml:space="preserve">DB-stored-code pattern are NOT reproduced.</w:t>
            </w:r>
            <w:r>
              <w:t xml:space="preserve">Source:</w:t>
            </w:r>
            <w:r>
              <w:t xml:space="preserve"> </w:t>
            </w:r>
            <w:r>
              <w:rPr>
                <w:rStyle w:val="VerbatimChar"/>
              </w:rPr>
              <w:t xml:space="preserve">docs/superpowers/specs/2026-04-23-arc2-model-revisions.md</w:t>
            </w:r>
            <w:r>
              <w:t xml:space="preserve">. Companion changes: Data Model v1.9, User Journeys v0.8, Arc 2 phased plan refresh.</w:t>
            </w:r>
          </w:p>
        </w:tc>
      </w:tr>
      <w:tr>
        <w:tc>
          <w:tcPr/>
          <w:p>
            <w:pPr>
              <w:pStyle w:val="Compact"/>
            </w:pPr>
            <w:r>
              <w:t xml:space="preserve">0.10-rev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reversal.</w:t>
            </w:r>
            <w:r>
              <w:t xml:space="preserve"> </w:t>
            </w:r>
            <w:r>
              <w:t xml:space="preserve">The initial v0.10 draft added §5.10 + FDS-05-033..035 covering a new</w:t>
            </w:r>
            <w:r>
              <w:t xml:space="preserve"> </w:t>
            </w:r>
            <w:r>
              <w:rPr>
                <w:rStyle w:val="VerbatimChar"/>
              </w:rPr>
              <w:t xml:space="preserve">Parts.ItemTransform</w:t>
            </w:r>
            <w:r>
              <w:t xml:space="preserve"> </w:t>
            </w:r>
            <w:r>
              <w:t xml:space="preserve">table to bridge the Casting → Trim part rename. On review the table was redundant with</w:t>
            </w:r>
            <w:r>
              <w:t xml:space="preserve"> </w:t>
            </w:r>
            <w:r>
              <w:rPr>
                <w:rStyle w:val="VerbatimChar"/>
              </w:rPr>
              <w:t xml:space="preserve">Workorder.ConsumptionEvent</w:t>
            </w:r>
            <w:r>
              <w:t xml:space="preserve"> </w:t>
            </w:r>
            <w:r>
              <w:t xml:space="preserve">(every column duplicated). §5.10 retained as a section but rewritten: the Casting → Trim boundary is modelled as a</w:t>
            </w:r>
            <w:r>
              <w:t xml:space="preserve"> </w:t>
            </w:r>
            <w:r>
              <w:rPr>
                <w:b/>
                <w:bCs/>
              </w:rPr>
              <w:t xml:space="preserve">degenerate 1-line BOM consumption</w:t>
            </w:r>
            <w:r>
              <w:t xml:space="preserve"> </w:t>
            </w:r>
            <w:r>
              <w:t xml:space="preserve">(trim part has cast part as its sole component at QtyPer=1). FDS-05-033..035 consolidated into a single FDS-05-033 describing the BOM-driven scan-in flow. No new schema —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carry it. OI-11 moves to ✅ Resolved in the Open Issues Register v2.6. Data Model v1.8 updated accordingly (ItemTransform table section replaced with a ✅ Resolved callout).</w:t>
            </w:r>
          </w:p>
        </w:tc>
      </w:tr>
      <w:tr>
        <w:tc>
          <w:tcPr>
            <w:shd w:val="clear" w:color="auto" w:fill="F2F2F2"/>
          </w:tcPr>
          <w:tcPr/>
          <w:p>
            <w:pPr>
              <w:pStyle w:val="Compact"/>
            </w:pPr>
            <w:r>
              <w:t xml:space="preserve">0.10</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of the 2026-04-20 OI review refactor — design + doc additions for OI-11..23.</w:t>
            </w:r>
            <w:r>
              <w:t xml:space="preserve"> </w:t>
            </w:r>
            <w:r>
              <w:t xml:space="preserve">Closes 13 items discovered across the 2026-04-20 MPP meeting (OI-11..14) and the 2026-04-22 legacy-MES screenshot review (OI-15..23). New sections: §3.6 extended with FDS-03-019 per-container MaxParts cap (OI-12) and FDS-03-020 lineside inventory cap (OI-12); §3.5 extended with FDS-03-018 ItemLocation consumption metadata (OI-18); §3.1 FDS-03-001 extended for Country of Origin (OI-19); §5.10 Part Identity Change — Casting to Trim, new subsection with FDS-05-033..035 (OI-11); §5.1 FDS-05-031 LOT computed quantities (TotalInProcess, InventoryAvailable) (OI-23); §5.3 FDS-05-032 partial start / partial complete confirmation (OI-21); §6.8 FDS-06-023a Scrap Source distinction (Inventory vs Location) (OI-20); §6.10 FDS-06-028 auto-finish-on-target WO + FDS-06-029 tray-divisibility validation (OI-16, OI-17); §8.2 FDS-08-007a dedicated Hold Management screen (OI-22); §12.5 Global Trace Tool, new subsection with FDS-12-009..011 (OI-15); §1.4 FDS-01-013 BOM import from Flexware @ .919 (OI-13); §4.3 Elevation Model extended with admin remove-item entry (OI-14); §14 Data Migration extended with Flexware BOM one-shot import (OI-13). Data model companion change: v1.7 → v1.8 adds</w:t>
            </w:r>
            <w:r>
              <w:t xml:space="preserve"> </w:t>
            </w:r>
            <w:r>
              <w:rPr>
                <w:rStyle w:val="VerbatimChar"/>
              </w:rPr>
              <w:t xml:space="preserve">Parts.ItemTransform</w:t>
            </w:r>
            <w:r>
              <w:t xml:space="preserve">,</w:t>
            </w:r>
            <w:r>
              <w:t xml:space="preserve"> </w:t>
            </w:r>
            <w:r>
              <w:rPr>
                <w:rStyle w:val="VerbatimChar"/>
              </w:rPr>
              <w:t xml:space="preserve">Workorder.ScrapSource</w:t>
            </w:r>
            <w:r>
              <w:t xml:space="preserve">,</w:t>
            </w:r>
            <w:r>
              <w:t xml:space="preserve"> </w:t>
            </w:r>
            <w:r>
              <w:rPr>
                <w:rStyle w:val="VerbatimChar"/>
              </w:rPr>
              <w:t xml:space="preserve">Parts.ContainerConfig.MaxParts</w:t>
            </w:r>
            <w:r>
              <w:t xml:space="preserve">,</w:t>
            </w:r>
            <w:r>
              <w:t xml:space="preserve"> </w:t>
            </w:r>
            <w:r>
              <w:rPr>
                <w:rStyle w:val="VerbatimChar"/>
              </w:rPr>
              <w:t xml:space="preserve">Parts.ItemLocation</w:t>
            </w:r>
            <w:r>
              <w:t xml:space="preserve"> </w:t>
            </w:r>
            <w:r>
              <w:t xml:space="preserve">consumption cols,</w:t>
            </w:r>
            <w:r>
              <w:t xml:space="preserve"> </w:t>
            </w:r>
            <w:r>
              <w:rPr>
                <w:rStyle w:val="VerbatimChar"/>
              </w:rPr>
              <w:t xml:space="preserve">Parts.Item.CountryOfOrigin</w:t>
            </w:r>
            <w:r>
              <w:t xml:space="preserve">,</w:t>
            </w:r>
            <w:r>
              <w:t xml:space="preserve"> </w:t>
            </w:r>
            <w:r>
              <w:rPr>
                <w:rStyle w:val="VerbatimChar"/>
              </w:rPr>
              <w:t xml:space="preserve">Workorder.ProductionEvent.ScrapSourceId</w:t>
            </w:r>
            <w:r>
              <w:t xml:space="preserve">. All changes additive — no breaking re-numbering. Discovery items OI-24..30 remain parked for MPP input. Source:</w:t>
            </w:r>
            <w:r>
              <w:t xml:space="preserve"> </w:t>
            </w:r>
            <w:r>
              <w:rPr>
                <w:rStyle w:val="VerbatimChar"/>
              </w:rPr>
              <w:t xml:space="preserve">MPP_MES_Open_Issues_Register.md</w:t>
            </w:r>
            <w:r>
              <w:t xml:space="preserve"> </w:t>
            </w:r>
            <w:r>
              <w:t xml:space="preserve">v2.5,</w:t>
            </w:r>
            <w:r>
              <w:t xml:space="preserve"> </w:t>
            </w:r>
            <w:r>
              <w:rPr>
                <w:rStyle w:val="VerbatimChar"/>
              </w:rPr>
              <w:t xml:space="preserve">Meeting_Notes/2026-04-20_OI_Review_Status_Summary.md</w:t>
            </w:r>
            <w:r>
              <w:t xml:space="preserve"> </w:t>
            </w:r>
            <w:r>
              <w:t xml:space="preserve">v1.1.</w:t>
            </w:r>
          </w:p>
        </w:tc>
      </w:tr>
      <w:tr>
        <w:tc>
          <w:tcPr/>
          <w:p>
            <w:pPr>
              <w:pStyle w:val="Compact"/>
            </w:pPr>
            <w:r>
              <w:t xml:space="preserve">0.9</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D of the 2026-04-20 OI review refactor — six FDS sections rewritten.</w:t>
            </w:r>
            <w:r>
              <w:t xml:space="preserve"> </w:t>
            </w:r>
            <w:r>
              <w:t xml:space="preserve">§2.5 Terminals gains OI-08 addenda:</w:t>
            </w:r>
            <w:r>
              <w:t xml:space="preserve"> </w:t>
            </w:r>
            <w:r>
              <w:rPr>
                <w:rStyle w:val="VerbatimChar"/>
              </w:rPr>
              <w:t xml:space="preserve">TerminalMode</w:t>
            </w:r>
            <w:r>
              <w:t xml:space="preserve"> </w:t>
            </w:r>
            <w:r>
              <w:t xml:space="preserve">LocationAttribute (Dedicated ≈80% / Shared ≈20%) via FDS-02-010, terminal machine-context lock (FDS-02-011, no UI navigation off-machine), part↔machine validity via</w:t>
            </w:r>
            <w:r>
              <w:t xml:space="preserve"> </w:t>
            </w:r>
            <w:r>
              <w:rPr>
                <w:rStyle w:val="VerbatimChar"/>
              </w:rPr>
              <w:t xml:space="preserve">Parts.ItemLocation</w:t>
            </w:r>
            <w:r>
              <w:t xml:space="preserve"> </w:t>
            </w:r>
            <w:r>
              <w:t xml:space="preserve">(FDS-02-012), mobile-friendly tablet design input for Die Cast (FDS-02-013), Honda RFID forward-compatibility note (FDS-02-014 FUTURE). §5.4 Sub-LOT Splitting — formalised the sublot pattern for OI-09 addenda: general parent-FK + sublot semantics (FDS-05-022), per-cavity concurrent sublots at Die Cast (FDS-05-023), sublot label parent reference (FDS-05-024); retained existing auto-split workflow as one specific case. §5.5 LOT Merging — OI-05 revised: replaced loose</w:t>
            </w:r>
            <w:r>
              <w:t xml:space="preserve"> </w:t>
            </w:r>
            <w:r>
              <w:t xml:space="preserve">“configurable”</w:t>
            </w:r>
            <w:r>
              <w:t xml:space="preserve"> </w:t>
            </w:r>
            <w:r>
              <w:t xml:space="preserve">wording with concrete rules: post-sort only (FDS-05-023), same-part-number (FDS-05-024), die-rank compatibility via</w:t>
            </w:r>
            <w:r>
              <w:t xml:space="preserve"> </w:t>
            </w:r>
            <w:r>
              <w:rPr>
                <w:rStyle w:val="VerbatimChar"/>
              </w:rPr>
              <w:t xml:space="preserve">Tools.DieRankCompatibility</w:t>
            </w:r>
            <w:r>
              <w:t xml:space="preserve"> </w:t>
            </w:r>
            <w:r>
              <w:t xml:space="preserve">with supervisor AD override (FDS-05-025), quality-status gating with no override for mixed status (FDS-05-026), machining FIFO-by-cavity is not a merge (FDS-05-027). §6.10 Work Orders — OI-07 three-type model: Demand / Maintenance / Recipe;</w:t>
            </w:r>
            <w:r>
              <w:t xml:space="preserve"> </w:t>
            </w:r>
            <w:r>
              <w:rPr>
                <w:rStyle w:val="VerbatimChar"/>
              </w:rPr>
              <w:t xml:space="preserve">WorkOrderType</w:t>
            </w:r>
            <w:r>
              <w:t xml:space="preserve"> </w:t>
            </w:r>
            <w:r>
              <w:t xml:space="preserve">code table (FDS-06-025); Demand retains MVP-LITE auto-generation; Maintenance is</w:t>
            </w:r>
            <w:r>
              <w:t xml:space="preserve"> </w:t>
            </w:r>
            <w:r>
              <w:rPr>
                <w:rStyle w:val="VerbatimChar"/>
              </w:rPr>
              <w:t xml:space="preserve">FUTURE</w:t>
            </w:r>
            <w:r>
              <w:t xml:space="preserve"> </w:t>
            </w:r>
            <w:r>
              <w:t xml:space="preserve">flow with schema hook only (FDS-06-026); Recipe is hidden from operator (FDS-06-027). §9.4 Shift Management — OI-03 closed: availability</w:t>
            </w:r>
            <w:r>
              <w:t xml:space="preserve"> </w:t>
            </w:r>
            <w:r>
              <w:rPr>
                <w:b/>
                <w:bCs/>
              </w:rPr>
              <w:t xml:space="preserve">derived from events</w:t>
            </w:r>
            <w:r>
              <w:t xml:space="preserve">, not adjustable start/end columns; import schedules from MPP spreadsheet (FDS-09-012); break logging is end-of-shift only, no live per-break entry (FDS-09-013); early starts auto-increase availability because events drive runtime (FDS-09-014). §10.3 Non-Serialized Line Integration — OI-04 revised: line-stop semantics replace LOT auto-hold (FDS-10-005 rewritten), 10-consecutive-fail leader escalation with configurable threshold (FDS-10-009), failure-type branching (wrong part → immediate flag; wrong orientation → threshold only — FDS-10-010), hold-release paths via Quality or CRT (FDS-10-011), Controlled Run Tag workflow with mandatory 200%-inspect and missed-CRT re-run rule (FDS-10-012). Related Documents table updated to reference data model v1.7 (8 schemas, ~70 tables). Open Items Register grid refreshed to show revised statuses and the four new items (OI-11 part rename at Casting→Trim, OI-12 lineside inventory caps, OI-13 BOM source Flexware@.919, OI-14 admin remove-item).</w:t>
            </w:r>
          </w:p>
        </w:tc>
      </w:tr>
      <w:tr>
        <w:tc>
          <w:tcPr>
            <w:shd w:val="clear" w:color="auto" w:fill="F2F2F2"/>
          </w:tcPr>
          <w:tcPr/>
          <w:p>
            <w:pPr>
              <w:pStyle w:val="Compact"/>
            </w:pPr>
            <w:r>
              <w:t xml:space="preserve">0.8</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Replaced §4 Authentication &amp; Session Management end-to-end. Operators no longer authenticate — they are identified by</w:t>
            </w:r>
            <w:r>
              <w:t xml:space="preserve"> </w:t>
            </w:r>
            <w:r>
              <w:rPr>
                <w:b/>
                <w:bCs/>
              </w:rPr>
              <w:t xml:space="preserve">initials</w:t>
            </w:r>
            <w:r>
              <w:t xml:space="preserve"> </w:t>
            </w:r>
            <w:r>
              <w:t xml:space="preserve">entered at the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to authenticate via Active Directory. All clock-number and PIN terminology removed. Elevated actions are per-action AD re-prompts (no 5-minute-timeout, no session-sticky elevation). Introduced dedicated-vs-shared terminal modes via</w:t>
            </w:r>
            <w:r>
              <w:t xml:space="preserve"> </w:t>
            </w:r>
            <w:r>
              <w:rPr>
                <w:rStyle w:val="VerbatimChar"/>
              </w:rPr>
              <w:t xml:space="preserve">LocationAttribute</w:t>
            </w:r>
            <w:r>
              <w:t xml:space="preserve">. Added 30-minute idle re-confirmation overlay. Added pre-populated-and-defeasible initials field on every mutation screen. Operator</w:t>
            </w:r>
            <w:r>
              <w:t xml:space="preserve"> </w:t>
            </w:r>
            <w:r>
              <w:rPr>
                <w:rStyle w:val="VerbatimChar"/>
              </w:rPr>
              <w:t xml:space="preserve">AppUser</w:t>
            </w:r>
            <w:r>
              <w:t xml:space="preserve"> </w:t>
            </w:r>
            <w:r>
              <w:t xml:space="preserve">rows are managed via the Configuration Tool (Admin screen). Updated §1.6 FDS-01-010. New FDS-04-009, FDS-04-010.</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derived from the terminal’s</w:t>
      </w:r>
      <w:r>
        <w:t xml:space="preserve"> </w:t>
      </w:r>
      <w:r>
        <w:rPr>
          <w:rStyle w:val="VerbatimChar"/>
        </w:rPr>
        <w:t xml:space="preserve">LocationAttribute</w:t>
      </w:r>
      <w:r>
        <w:t xml:space="preserve"> </w:t>
      </w:r>
      <w:r>
        <w:t xml:space="preserve">(</w:t>
      </w:r>
      <w:r>
        <w:rPr>
          <w:rStyle w:val="VerbatimChar"/>
        </w:rPr>
        <w:t xml:space="preserve">DedicatedMachineLocationId</w:t>
      </w:r>
      <w:r>
        <w:t xml:space="preserve">) without requiring a scan on every session; the terminal still writes both FKs on events.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4f8b7b4cf9dc36ad23da7d2094fe20658e0010a"/>
    <w:p>
      <w:pPr>
        <w:pStyle w:val="Heading4"/>
      </w:pPr>
      <w:r>
        <w:t xml:space="preserve">FDS-02-010 — Terminal Mode LocationAttribute</w:t>
      </w:r>
    </w:p>
    <w:p>
      <w:pPr>
        <w:pStyle w:val="FirstParagraph"/>
      </w:pPr>
      <w:r>
        <w:t xml:space="preserve">Each</w:t>
      </w:r>
      <w:r>
        <w:t xml:space="preserve"> </w:t>
      </w:r>
      <w:r>
        <w:rPr>
          <w:rStyle w:val="VerbatimChar"/>
        </w:rPr>
        <w:t xml:space="preserve">Terminal</w:t>
      </w:r>
      <w:r>
        <w:t xml:space="preserve">-definition Location SHALL carry a</w:t>
      </w:r>
      <w:r>
        <w:t xml:space="preserve"> </w:t>
      </w:r>
      <w:r>
        <w:rPr>
          <w:rStyle w:val="VerbatimChar"/>
        </w:rPr>
        <w:t xml:space="preserve">LocationAttribute</w:t>
      </w:r>
      <w:r>
        <w:t xml:space="preserve"> </w:t>
      </w:r>
      <w:r>
        <w:t xml:space="preserve">named</w:t>
      </w:r>
      <w:r>
        <w:t xml:space="preserve"> </w:t>
      </w:r>
      <w:r>
        <w:rPr>
          <w:rStyle w:val="VerbatimChar"/>
        </w:rPr>
        <w:t xml:space="preserve">TerminalMode</w:t>
      </w:r>
      <w:r>
        <w:t xml:space="preserve"> </w:t>
      </w:r>
      <w:r>
        <w:t xml:space="preserve">with allowed values</w:t>
      </w:r>
      <w:r>
        <w:t xml:space="preserve"> </w:t>
      </w:r>
      <w:r>
        <w:rPr>
          <w:rStyle w:val="VerbatimChar"/>
        </w:rPr>
        <w:t xml:space="preserve">Dedicated</w:t>
      </w:r>
      <w:r>
        <w:t xml:space="preserve"> </w:t>
      </w:r>
      <w:r>
        <w:t xml:space="preserve">or</w:t>
      </w:r>
      <w:r>
        <w:t xml:space="preserve"> </w:t>
      </w:r>
      <w:r>
        <w:rPr>
          <w:rStyle w:val="VerbatimChar"/>
        </w:rPr>
        <w:t xml:space="preserve">Shared</w:t>
      </w:r>
      <w:r>
        <w:t xml:space="preserve">. The Configuration Tool SHALL expose this attribute on the Terminal edit screen. Behaviour:</w:t>
      </w:r>
    </w:p>
    <w:p>
      <w:pPr>
        <w:pStyle w:val="Compact"/>
        <w:numPr>
          <w:ilvl w:val="0"/>
          <w:numId w:val="1004"/>
        </w:numPr>
      </w:pPr>
      <w:r>
        <w:rPr>
          <w:b/>
          <w:bCs/>
        </w:rPr>
        <w:t xml:space="preserve">Dedicated (≈80% of terminals):</w:t>
      </w:r>
      <w:r>
        <w:t xml:space="preserve"> </w:t>
      </w:r>
      <w:r>
        <w:t xml:space="preserve">The terminal is permanently bound to a single machine context (e.g.,</w:t>
      </w:r>
      <w:r>
        <w:t xml:space="preserve"> </w:t>
      </w:r>
      <w:r>
        <w:rPr>
          <w:rStyle w:val="VerbatimChar"/>
        </w:rPr>
        <w:t xml:space="preserve">DC-07</w:t>
      </w:r>
      <w:r>
        <w:t xml:space="preserve"> </w:t>
      </w:r>
      <w:r>
        <w:t xml:space="preserve">terminal at Die Cast Machine 7). A</w:t>
      </w:r>
      <w:r>
        <w:t xml:space="preserve"> </w:t>
      </w:r>
      <w:r>
        <w:rPr>
          <w:rStyle w:val="VerbatimChar"/>
        </w:rPr>
        <w:t xml:space="preserve">DedicatedMachineLocationId</w:t>
      </w:r>
      <w:r>
        <w:t xml:space="preserve"> </w:t>
      </w:r>
      <w:r>
        <w:t xml:space="preserve">attribute SHALL reference the machine</w:t>
      </w:r>
      <w:r>
        <w:t xml:space="preserve"> </w:t>
      </w:r>
      <w:r>
        <w:rPr>
          <w:rStyle w:val="VerbatimChar"/>
        </w:rPr>
        <w:t xml:space="preserve">Location</w:t>
      </w:r>
      <w:r>
        <w:t xml:space="preserve">. The operator’s initials presence (§4) persists across the shift with 30-min idle re-confirmation (FDS-04-006); machine context is never re-prompted.</w:t>
      </w:r>
    </w:p>
    <w:p>
      <w:pPr>
        <w:pStyle w:val="Compact"/>
        <w:numPr>
          <w:ilvl w:val="0"/>
          <w:numId w:val="1004"/>
        </w:numPr>
      </w:pPr>
      <w:r>
        <w:rPr>
          <w:b/>
          <w:bCs/>
        </w:rPr>
        <w:t xml:space="preserve">Shared (≈20% of terminals):</w:t>
      </w:r>
      <w:r>
        <w:t xml:space="preserve"> </w:t>
      </w:r>
      <w:r>
        <w:t xml:space="preserve">The terminal is unbound to a specific machine. The operator’s initials presence AND machine context SHALL be prompted on first action and on machine change. Use case: trim shop with multiple stations fed through one terminal.</w:t>
      </w:r>
    </w:p>
    <w:p>
      <w:pPr>
        <w:pStyle w:val="FirstParagraph"/>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55cc738b398aec96ab14444e986060ff6a71839"/>
    <w:p>
      <w:pPr>
        <w:pStyle w:val="Heading4"/>
      </w:pPr>
      <w:r>
        <w:t xml:space="preserve">FDS-03-017a — Data Collection Capture at Event Time (Checkpoint Shape, v0.11)</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5"/>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5"/>
        </w:numPr>
      </w:pPr>
      <w:r>
        <w:t xml:space="preserve">On submit, the Arc 2 Phase 1</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6"/>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6"/>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6"/>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6"/>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5"/>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5"/>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5"/>
    <w:bookmarkEnd w:id="76"/>
    <w:bookmarkStart w:id="80" w:name="part-to-location-eligibility"/>
    <w:p>
      <w:pPr>
        <w:pStyle w:val="Heading3"/>
      </w:pPr>
      <w:r>
        <w:t xml:space="preserve">3.5 Part-to-Location Eligibility</w:t>
      </w:r>
    </w:p>
    <w:bookmarkStart w:id="77" w:name="fds-03-014-eligibility-map"/>
    <w:p>
      <w:pPr>
        <w:pStyle w:val="Heading4"/>
      </w:pPr>
      <w:r>
        <w:t xml:space="preserve">FDS-03-014 — Eligibility Map</w:t>
      </w:r>
    </w:p>
    <w:p>
      <w:pPr>
        <w:pStyle w:val="FirstParagraph"/>
      </w:pPr>
      <w:r>
        <w:t xml:space="preserve">The</w:t>
      </w:r>
      <w:r>
        <w:t xml:space="preserve"> </w:t>
      </w:r>
      <w:r>
        <w:rPr>
          <w:rStyle w:val="VerbatimChar"/>
        </w:rPr>
        <w:t xml:space="preserve">ItemLocation</w:t>
      </w:r>
      <w:r>
        <w:t xml:space="preserve"> </w:t>
      </w:r>
      <w:r>
        <w:t xml:space="preserve">table SHALL define which parts can run on which machines. When an operator starts production at a machine, the MES SHALL validate that the selected item is eligible for that machine. If not eligible, the system SHALL reject the operation with a clear error message. (FRS 3.4.7)</w:t>
      </w:r>
    </w:p>
    <w:bookmarkEnd w:id="77"/>
    <w:bookmarkStart w:id="78" w:name="fds-03-015-eligibility-management"/>
    <w:p>
      <w:pPr>
        <w:pStyle w:val="Heading4"/>
      </w:pPr>
      <w:r>
        <w:t xml:space="preserve">FDS-03-015 — Eligibility Management</w:t>
      </w:r>
    </w:p>
    <w:p>
      <w:pPr>
        <w:pStyle w:val="FirstParagraph"/>
      </w:pPr>
      <w:r>
        <w:t xml:space="preserve">Engineering users SHALL be able to add and remove item-location eligibility records via the configuration tool. Changes SHALL be logged to</w:t>
      </w:r>
      <w:r>
        <w:t xml:space="preserve"> </w:t>
      </w:r>
      <w:r>
        <w:rPr>
          <w:rStyle w:val="VerbatimChar"/>
        </w:rPr>
        <w:t xml:space="preserve">Audit.ConfigLog</w:t>
      </w:r>
      <w:r>
        <w:t xml:space="preserve">.</w:t>
      </w:r>
    </w:p>
    <w:bookmarkEnd w:id="78"/>
    <w:bookmarkStart w:id="79"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rPr>
          <w:b/>
          <w:bCs/>
        </w:rPr>
        <w:t xml:space="preserve">OI-18 (new v0.10):</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OI-12 lineside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Cell consumes this Item (input);</w:t>
            </w:r>
            <w:r>
              <w:t xml:space="preserve"> </w:t>
            </w:r>
            <w:r>
              <w:rPr>
                <w:rStyle w:val="VerbatimChar"/>
              </w:rPr>
              <w:t xml:space="preserve">0</w:t>
            </w:r>
            <w:r>
              <w:t xml:space="preserve"> </w:t>
            </w:r>
            <w:r>
              <w:t xml:space="preserve">= Cell produces this Item (output) or is eligible without being a consumption point</w:t>
            </w:r>
          </w:p>
        </w:tc>
      </w:tr>
    </w:tbl>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b/>
          <w:bCs/>
        </w:rPr>
        <w:t xml:space="preserve">OI-12 (revised 2026-04-24):</w:t>
      </w:r>
      <w:r>
        <w:t xml:space="preserve"> </w:t>
      </w: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07"/>
        </w:numPr>
      </w:pPr>
      <w:r>
        <w:t xml:space="preserve">Sum existing pieces of this Item across all non-Closed LOTs currently at the destination Location.</w:t>
      </w:r>
    </w:p>
    <w:p>
      <w:pPr>
        <w:pStyle w:val="Compact"/>
        <w:numPr>
          <w:ilvl w:val="0"/>
          <w:numId w:val="1007"/>
        </w:numPr>
      </w:pPr>
      <w:r>
        <w:t xml:space="preserve">Add the incoming LOT’s piece count.</w:t>
      </w:r>
    </w:p>
    <w:p>
      <w:pPr>
        <w:pStyle w:val="Compact"/>
        <w:numPr>
          <w:ilvl w:val="0"/>
          <w:numId w:val="1007"/>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p>
      <w:pPr>
        <w:pStyle w:val="BlockText"/>
      </w:pPr>
      <w:r>
        <w:rPr>
          <w:b/>
          <w:bCs/>
        </w:rPr>
        <w:t xml:space="preserve">Historical note:</w:t>
      </w:r>
      <w:r>
        <w:t xml:space="preserve"> </w:t>
      </w:r>
      <w:r>
        <w:t xml:space="preserve">An earlier v0.10 draft placed</w:t>
      </w:r>
      <w:r>
        <w:t xml:space="preserve"> </w:t>
      </w:r>
      <w:r>
        <w:rPr>
          <w:rStyle w:val="VerbatimChar"/>
        </w:rPr>
        <w:t xml:space="preserve">MaxParts</w:t>
      </w:r>
      <w:r>
        <w:t xml:space="preserve"> </w:t>
      </w:r>
      <w:r>
        <w:t xml:space="preserve">on</w:t>
      </w:r>
      <w:r>
        <w:t xml:space="preserve"> </w:t>
      </w:r>
      <w:r>
        <w:rPr>
          <w:rStyle w:val="VerbatimChar"/>
        </w:rPr>
        <w:t xml:space="preserve">Parts.ContainerConfig</w:t>
      </w:r>
      <w:r>
        <w:t xml:space="preserve"> </w:t>
      </w:r>
      <w:r>
        <w:t xml:space="preserve">(per-container cap). Jacques’s 2026-04-24 OIR review clarified that</w:t>
      </w:r>
      <w:r>
        <w:t xml:space="preserve"> </w:t>
      </w:r>
      <w:r>
        <w:rPr>
          <w:rStyle w:val="VerbatimChar"/>
        </w:rPr>
        <w:t xml:space="preserve">MaxParts</w:t>
      </w:r>
      <w:r>
        <w:t xml:space="preserve"> </w:t>
      </w:r>
      <w:r>
        <w:t xml:space="preserve">is a Part attribute, evaluated at check-in — not a container-packing attribute. Corrected in v0.11c.</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8"/>
        </w:numPr>
      </w:pPr>
      <w:r>
        <w:t xml:space="preserve">another operator enters different initials, or</w:t>
      </w:r>
    </w:p>
    <w:p>
      <w:pPr>
        <w:pStyle w:val="Compact"/>
        <w:numPr>
          <w:ilvl w:val="0"/>
          <w:numId w:val="1008"/>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78cc5d68796befaa9caa431196ca68b9621ed00"/>
    <w:p>
      <w:pPr>
        <w:pStyle w:val="Heading4"/>
      </w:pPr>
      <w:r>
        <w:t xml:space="preserve">FDS-04-003 — Terminal Mode: Dedicated vs Shared</w:t>
      </w:r>
    </w:p>
    <w:p>
      <w:pPr>
        <w:pStyle w:val="FirstParagraph"/>
      </w:pPr>
      <w:r>
        <w:t xml:space="preserve">Terminals SHALL be classified via a</w:t>
      </w:r>
      <w:r>
        <w:t xml:space="preserve"> </w:t>
      </w:r>
      <w:r>
        <w:rPr>
          <w:rStyle w:val="VerbatimChar"/>
        </w:rPr>
        <w:t xml:space="preserve">LocationAttribute</w:t>
      </w:r>
      <w:r>
        <w:t xml:space="preserve"> </w:t>
      </w:r>
      <w:r>
        <w:t xml:space="preserve">on the Terminal location (</w:t>
      </w:r>
      <w:r>
        <w:rPr>
          <w:rStyle w:val="VerbatimChar"/>
        </w:rPr>
        <w:t xml:space="preserve">TerminalMode</w:t>
      </w:r>
      <w:r>
        <w:t xml:space="preserve"> </w:t>
      </w:r>
      <w:r>
        <w:t xml:space="preserve">=</w:t>
      </w:r>
      <w:r>
        <w:t xml:space="preserve"> </w:t>
      </w:r>
      <w:r>
        <w:rPr>
          <w:rStyle w:val="VerbatimChar"/>
        </w:rPr>
        <w:t xml:space="preserve">Dedicated</w:t>
      </w:r>
      <w:r>
        <w:t xml:space="preserve"> </w:t>
      </w:r>
      <w:r>
        <w:t xml:space="preserve">or</w:t>
      </w:r>
      <w:r>
        <w:t xml:space="preserve"> </w:t>
      </w:r>
      <w:r>
        <w:rPr>
          <w:rStyle w:val="VerbatimChar"/>
        </w:rPr>
        <w:t xml:space="preserve">Shared</w:t>
      </w:r>
      <w:r>
        <w:t xml:space="preserve">; default</w:t>
      </w:r>
      <w:r>
        <w:t xml:space="preserve"> </w:t>
      </w:r>
      <w:r>
        <w:rPr>
          <w:rStyle w:val="VerbatimChar"/>
        </w:rPr>
        <w:t xml:space="preserve">Dedicated</w:t>
      </w:r>
      <w:r>
        <w:t xml:space="preserve">).</w:t>
      </w:r>
    </w:p>
    <w:p>
      <w:pPr>
        <w:pStyle w:val="Compact"/>
        <w:numPr>
          <w:ilvl w:val="0"/>
          <w:numId w:val="1009"/>
        </w:numPr>
      </w:pPr>
      <w:r>
        <w:rPr>
          <w:b/>
          <w:bCs/>
        </w:rPr>
        <w:t xml:space="preserve">Dedicated terminals</w:t>
      </w:r>
      <w:r>
        <w:t xml:space="preserve"> </w:t>
      </w:r>
      <w:r>
        <w:t xml:space="preserve">(approx. 80% of the plant — one-to-one with a Cell). The presence context persists across idle gaps, subject only to the 30-minute re-confirmation prompt. Initials do not clear unless explicitly changed.</w:t>
      </w:r>
    </w:p>
    <w:p>
      <w:pPr>
        <w:pStyle w:val="Compact"/>
        <w:numPr>
          <w:ilvl w:val="0"/>
          <w:numId w:val="1009"/>
        </w:numPr>
      </w:pPr>
      <w:r>
        <w:rPr>
          <w:b/>
          <w:bCs/>
        </w:rPr>
        <w:t xml:space="preserve">Shared terminals</w:t>
      </w:r>
      <w:r>
        <w:t xml:space="preserve"> </w:t>
      </w:r>
      <w:r>
        <w:t xml:space="preserve">(trim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0"/>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0"/>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1"/>
        </w:numPr>
      </w:pPr>
      <w:r>
        <w:t xml:space="preserve">Place a LOT on hold</w:t>
      </w:r>
    </w:p>
    <w:p>
      <w:pPr>
        <w:pStyle w:val="Compact"/>
        <w:numPr>
          <w:ilvl w:val="0"/>
          <w:numId w:val="1011"/>
        </w:numPr>
      </w:pPr>
      <w:r>
        <w:t xml:space="preserve">Release a LOT from hold</w:t>
      </w:r>
    </w:p>
    <w:p>
      <w:pPr>
        <w:pStyle w:val="Compact"/>
        <w:numPr>
          <w:ilvl w:val="0"/>
          <w:numId w:val="1011"/>
        </w:numPr>
      </w:pPr>
      <w:r>
        <w:t xml:space="preserve">Override a vision or interlock failure</w:t>
      </w:r>
    </w:p>
    <w:p>
      <w:pPr>
        <w:pStyle w:val="Compact"/>
        <w:numPr>
          <w:ilvl w:val="0"/>
          <w:numId w:val="1011"/>
        </w:numPr>
      </w:pPr>
      <w:r>
        <w:t xml:space="preserve">Scrap a LOT or container</w:t>
      </w:r>
    </w:p>
    <w:p>
      <w:pPr>
        <w:pStyle w:val="Compact"/>
        <w:numPr>
          <w:ilvl w:val="0"/>
          <w:numId w:val="1011"/>
        </w:numPr>
      </w:pPr>
      <w:r>
        <w:t xml:space="preserve">Void or reprint a shipping label</w:t>
      </w:r>
    </w:p>
    <w:p>
      <w:pPr>
        <w:pStyle w:val="Compact"/>
        <w:numPr>
          <w:ilvl w:val="0"/>
          <w:numId w:val="1011"/>
        </w:numPr>
      </w:pPr>
      <w:r>
        <w:t xml:space="preserve">Merge or split LOTs outside of the normal sort workflow</w:t>
      </w:r>
    </w:p>
    <w:p>
      <w:pPr>
        <w:pStyle w:val="Compact"/>
        <w:numPr>
          <w:ilvl w:val="0"/>
          <w:numId w:val="1011"/>
        </w:numPr>
      </w:pPr>
      <w:r>
        <w:t xml:space="preserve">Issue or close a maintenance work order against a tool</w:t>
      </w:r>
    </w:p>
    <w:p>
      <w:pPr>
        <w:pStyle w:val="Compact"/>
        <w:numPr>
          <w:ilvl w:val="0"/>
          <w:numId w:val="1011"/>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1"/>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2"/>
        </w:numPr>
      </w:pPr>
      <w:r>
        <w:t xml:space="preserve">Shop-floor terminal screens SHALL be accessible without interactive authentication; operator presence is sufficient.</w:t>
      </w:r>
    </w:p>
    <w:p>
      <w:pPr>
        <w:pStyle w:val="Compact"/>
        <w:numPr>
          <w:ilvl w:val="0"/>
          <w:numId w:val="1012"/>
        </w:numPr>
      </w:pPr>
      <w:r>
        <w:t xml:space="preserve">Shop-floor screens SHALL NOT expose Configuration Tool or master-data functions.</w:t>
      </w:r>
    </w:p>
    <w:p>
      <w:pPr>
        <w:pStyle w:val="Compact"/>
        <w:numPr>
          <w:ilvl w:val="0"/>
          <w:numId w:val="1012"/>
        </w:numPr>
      </w:pPr>
      <w:r>
        <w:t xml:space="preserve">Configuration Tool, Supervisor dashboards, and Engineering screens SHALL require AD-backed authentication on page entry.</w:t>
      </w:r>
    </w:p>
    <w:p>
      <w:pPr>
        <w:pStyle w:val="Compact"/>
        <w:numPr>
          <w:ilvl w:val="0"/>
          <w:numId w:val="1012"/>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49" w:name="lot-lifecycle-genealogy-mvp"/>
    <w:p>
      <w:pPr>
        <w:pStyle w:val="Heading2"/>
      </w:pPr>
      <w:r>
        <w:t xml:space="preserve">5. LOT Lifecycle &amp; Genealogy —</w:t>
      </w:r>
      <w:r>
        <w:t xml:space="preserve"> </w:t>
      </w:r>
      <w:r>
        <w:rPr>
          <w:rStyle w:val="VerbatimChar"/>
        </w:rPr>
        <w:t xml:space="preserve">MVP</w:t>
      </w:r>
    </w:p>
    <w:bookmarkStart w:id="108"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Legacy (v0.10)</w:t>
            </w:r>
          </w:p>
        </w:tc>
        <w:tc>
          <w:tcPr>
            <w:shd w:val="clear" w:color="auto" w:fill="F2F2F2"/>
          </w:tcPr>
          <w:tcPr/>
          <w:p>
            <w:pPr>
              <w:pStyle w:val="Compact"/>
            </w:pPr>
            <w:r>
              <w:t xml:space="preserve">Retained for cutover; superseded by</w:t>
            </w:r>
            <w:r>
              <w:t xml:space="preserve"> </w:t>
            </w:r>
            <w:r>
              <w:rPr>
                <w:rStyle w:val="VerbatimChar"/>
              </w:rPr>
              <w:t xml:space="preserve">ToolId</w:t>
            </w:r>
            <w:r>
              <w:t xml:space="preserve">. Slated for removal.</w:t>
            </w:r>
          </w:p>
        </w:tc>
      </w:tr>
      <w:tr>
        <w:tc>
          <w:tcPr/>
          <w:p>
            <w:pPr>
              <w:pStyle w:val="Compact"/>
            </w:pPr>
            <w:r>
              <w:t xml:space="preserve">CavityNumber</w:t>
            </w:r>
          </w:p>
        </w:tc>
        <w:tc>
          <w:tcPr/>
          <w:p>
            <w:pPr>
              <w:pStyle w:val="Compact"/>
            </w:pPr>
            <w:r>
              <w:t xml:space="preserve">Legacy (v0.10)</w:t>
            </w:r>
          </w:p>
        </w:tc>
        <w:tc>
          <w:tcPr/>
          <w:p>
            <w:pPr>
              <w:pStyle w:val="Compact"/>
            </w:pPr>
            <w:r>
              <w:t xml:space="preserve">Retained for cutover; superseded by</w:t>
            </w:r>
            <w:r>
              <w:t xml:space="preserve"> </w:t>
            </w:r>
            <w:r>
              <w:rPr>
                <w:rStyle w:val="VerbatimChar"/>
              </w:rPr>
              <w:t xml:space="preserve">ToolCavityId</w:t>
            </w:r>
            <w:r>
              <w:t xml:space="preserve">. Slated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3e7af85d929729fde1577b6143a8874f5c8a9ce"/>
    <w:p>
      <w:pPr>
        <w:pStyle w:val="Heading4"/>
      </w:pPr>
      <w:r>
        <w:t xml:space="preserve">FDS-05-034 — Die-Cast-Origin Tool + Cavity Required on Lot Create —</w:t>
      </w:r>
      <w:r>
        <w:t xml:space="preserve"> </w:t>
      </w:r>
      <w:r>
        <w:rPr>
          <w:rStyle w:val="VerbatimChar"/>
        </w:rPr>
        <w:t xml:space="preserve">MVP</w:t>
      </w:r>
      <w:r>
        <w:t xml:space="preserve"> </w:t>
      </w:r>
      <w:r>
        <w:t xml:space="preserve">(v0.11)</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3"/>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3"/>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3"/>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 (OI-09 closed)</w:t>
      </w:r>
    </w:p>
    <w:bookmarkEnd w:id="105"/>
    <w:bookmarkStart w:id="106" w:name="X207cdf3d593f53e838a23a648d5ad0fef2ceb81"/>
    <w:p>
      <w:pPr>
        <w:pStyle w:val="Heading4"/>
      </w:pPr>
      <w:r>
        <w:t xml:space="preserve">FDS-05-035 — Tools System of Record — On Lot, Not On ProductionEvent —</w:t>
      </w:r>
      <w:r>
        <w:t xml:space="preserve"> </w:t>
      </w:r>
      <w:r>
        <w:rPr>
          <w:rStyle w:val="VerbatimChar"/>
        </w:rPr>
        <w:t xml:space="preserve">MVP</w:t>
      </w:r>
      <w:r>
        <w:t xml:space="preserve"> </w:t>
      </w:r>
      <w:r>
        <w:t xml:space="preserve">(v0.11)</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p>
      <w:pPr>
        <w:pStyle w:val="FirstParagraph"/>
      </w:pPr>
      <w:r>
        <w:t xml:space="preserve">(OI-09 closed)</w:t>
      </w:r>
    </w:p>
    <w:bookmarkEnd w:id="106"/>
    <w:bookmarkStart w:id="107"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rPr>
          <w:b/>
          <w:bCs/>
        </w:rPr>
        <w:t xml:space="preserve">OI-23 (new v0.10):</w:t>
      </w:r>
      <w:r>
        <w:t xml:space="preserve"> </w:t>
      </w:r>
      <w:r>
        <w:t xml:space="preserve">The Lot Details screen SHALL surface two derived quantities in the header:</w:t>
      </w:r>
    </w:p>
    <w:p>
      <w:pPr>
        <w:pStyle w:val="Compact"/>
        <w:numPr>
          <w:ilvl w:val="0"/>
          <w:numId w:val="1014"/>
        </w:numPr>
      </w:pPr>
      <w:r>
        <w:rPr>
          <w:b/>
          <w:bCs/>
        </w:rPr>
        <w:t xml:space="preserve">TotalInProcess</w:t>
      </w:r>
      <w:r>
        <w:t xml:space="preserve"> </w:t>
      </w:r>
      <w:r>
        <w:t xml:space="preserve">— sum of pieces currently held at all non-terminal workstations (i.e., pieces that have been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4"/>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are</w:t>
      </w:r>
      <w:r>
        <w:t xml:space="preserve"> </w:t>
      </w:r>
      <w:r>
        <w:rPr>
          <w:b/>
          <w:bCs/>
        </w:rPr>
        <w:t xml:space="preserve">derived, not stored</w:t>
      </w:r>
      <w:r>
        <w:t xml:space="preserve">. The MES SHALL expose them via dedicated read procs (e.g.,</w:t>
      </w:r>
      <w:r>
        <w:t xml:space="preserve"> </w:t>
      </w:r>
      <w:r>
        <w:rPr>
          <w:rStyle w:val="VerbatimChar"/>
        </w:rPr>
        <w:t xml:space="preserve">Lots.Lot_GetDerivedQuantities</w:t>
      </w:r>
      <w:r>
        <w:t xml:space="preserve">) that execute the aggregation at read time. If UI performance demands, these MAY be materialized in a future phase — the derivation formulas in this requirement are the source of truth. Legacy Flexware exposes these as header fields on its Lot Details screen.</w:t>
      </w:r>
    </w:p>
    <w:bookmarkEnd w:id="107"/>
    <w:bookmarkEnd w:id="108"/>
    <w:bookmarkStart w:id="112" w:name="lot-creation-workflows"/>
    <w:p>
      <w:pPr>
        <w:pStyle w:val="Heading3"/>
      </w:pPr>
      <w:r>
        <w:t xml:space="preserve">5.2 LOT Creation Workflows</w:t>
      </w:r>
    </w:p>
    <w:bookmarkStart w:id="109" w:name="X406c856a12782ac07330d8f2be859b950d90663"/>
    <w:p>
      <w:pPr>
        <w:pStyle w:val="Heading4"/>
      </w:pPr>
      <w:r>
        <w:t xml:space="preserve">FDS-05-004 — Manufactured LOT Creation (Die Cast) — revised v0.11</w:t>
      </w:r>
    </w:p>
    <w:p>
      <w:pPr>
        <w:pStyle w:val="FirstParagraph"/>
      </w:pPr>
      <w:r>
        <w:t xml:space="preserve">At Die Cast, the operator SHALL:</w:t>
      </w:r>
      <w:r>
        <w:t xml:space="preserve"> </w:t>
      </w:r>
      <w:r>
        <w:t xml:space="preserve">1. Fill a basket with parts from the active cavity of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r>
        <w:t xml:space="preserve"> </w:t>
      </w:r>
      <w:r>
        <w:t xml:space="preserve">5. 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Part number is implied by the current order / schedule; piece count is operator-entered.</w:t>
      </w:r>
      <w:r>
        <w:t xml:space="preserve"> </w:t>
      </w:r>
      <w:r>
        <w:t xml:space="preserve">6. 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r>
        <w:t xml:space="preserve"> </w:t>
      </w:r>
      <w:r>
        <w:t xml:space="preserve">7. 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r>
        <w:t xml:space="preserve"> </w:t>
      </w:r>
      <w:r>
        <w:t xml:space="preserve">8. 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r>
        <w:t xml:space="preserve"> </w:t>
      </w:r>
      <w:r>
        <w:t xml:space="preserve">9.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10. The MES SHALL log the creation to</w:t>
      </w:r>
      <w:r>
        <w:t xml:space="preserve"> </w:t>
      </w:r>
      <w:r>
        <w:rPr>
          <w:rStyle w:val="VerbatimChar"/>
        </w:rPr>
        <w:t xml:space="preserve">Audit.OperationLog</w:t>
      </w:r>
      <w:r>
        <w:t xml:space="preserve">.</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9"/>
    <w:bookmarkStart w:id="110"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10"/>
    <w:bookmarkStart w:id="111"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1"/>
    <w:bookmarkEnd w:id="112"/>
    <w:bookmarkStart w:id="118" w:name="lot-movement"/>
    <w:p>
      <w:pPr>
        <w:pStyle w:val="Heading3"/>
      </w:pPr>
      <w:r>
        <w:t xml:space="preserve">5.3 LOT Movement</w:t>
      </w:r>
    </w:p>
    <w:bookmarkStart w:id="113"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3"/>
    <w:bookmarkStart w:id="114"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5"/>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4"/>
    <w:bookmarkStart w:id="115" w:name="X46d985a10195a35d82cfefbf829e0ff2e82300d"/>
    <w:p>
      <w:pPr>
        <w:pStyle w:val="Heading4"/>
      </w:pPr>
      <w:r>
        <w:t xml:space="preserve">FDS-05-036 — Lazy, Operator-Driven LOT Creation —</w:t>
      </w:r>
      <w:r>
        <w:t xml:space="preserve"> </w:t>
      </w:r>
      <w:r>
        <w:rPr>
          <w:rStyle w:val="VerbatimChar"/>
        </w:rPr>
        <w:t xml:space="preserve">MVP</w:t>
      </w:r>
      <w:r>
        <w:t xml:space="preserve"> </w:t>
      </w:r>
      <w:r>
        <w:t xml:space="preserve">(v0.11)</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Arc 2 Phase 3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5"/>
    <w:bookmarkStart w:id="116" w:name="fds-05-037-lot-close-semantics-mvp-v0.11"/>
    <w:p>
      <w:pPr>
        <w:pStyle w:val="Heading4"/>
      </w:pPr>
      <w:r>
        <w:t xml:space="preserve">FDS-05-037 — LOT Close Semantics —</w:t>
      </w:r>
      <w:r>
        <w:t xml:space="preserve"> </w:t>
      </w:r>
      <w:r>
        <w:rPr>
          <w:rStyle w:val="VerbatimChar"/>
        </w:rPr>
        <w:t xml:space="preserve">MVP</w:t>
      </w:r>
      <w:r>
        <w:t xml:space="preserve"> </w:t>
      </w:r>
      <w:r>
        <w:t xml:space="preserve">(v0.11)</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6"/>
    <w:bookmarkStart w:id="117"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7"/>
    <w:bookmarkEnd w:id="118"/>
    <w:bookmarkStart w:id="125" w:name="sub-lot-splitting"/>
    <w:p>
      <w:pPr>
        <w:pStyle w:val="Heading3"/>
      </w:pPr>
      <w:r>
        <w:t xml:space="preserve">5.4 Sub-LOT Splitting</w:t>
      </w:r>
    </w:p>
    <w:p>
      <w:pPr>
        <w:pStyle w:val="BlockText"/>
      </w:pPr>
      <w:r>
        <w:t xml:space="preserve">✅</w:t>
      </w:r>
      <w:r>
        <w:t xml:space="preserve"> </w:t>
      </w:r>
      <w:r>
        <w:rPr>
          <w:b/>
          <w:bCs/>
        </w:rPr>
        <w:t xml:space="preserve">REVISED — OI-09 closed (2026-04-23):</w:t>
      </w:r>
      <w:r>
        <w:t xml:space="preserve"> </w:t>
      </w:r>
      <w:r>
        <w:t xml:space="preserve">The 2026-04-20 addenda conflated two distinct workflows. Restated in v0.11:</w:t>
      </w:r>
      <w:r>
        <w:t xml:space="preserve"> </w:t>
      </w:r>
      <w:r>
        <w:t xml:space="preserve">-</w:t>
      </w:r>
      <w:r>
        <w:t xml:space="preserve"> </w:t>
      </w: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closes independently. No parent/child FK between cavity peers. One LTT barcode per LOT. Genealogy is flat at Die Cast. See §5.2 FDS-05-004 for creation flow.</w:t>
      </w:r>
      <w:r>
        <w:t xml:space="preserve"> </w:t>
      </w:r>
      <w:r>
        <w:t xml:space="preserve">-</w:t>
      </w:r>
      <w:r>
        <w:t xml:space="preserve"> </w:t>
      </w:r>
      <w:r>
        <w:rPr>
          <w:b/>
          <w:bCs/>
        </w:rPr>
        <w:t xml:space="preserve">Machining sub-LOT split IS a sublot pattern.</w:t>
      </w:r>
      <w:r>
        <w:t xml:space="preserve"> </w:t>
      </w:r>
      <w:r>
        <w:t xml:space="preserve">The workflow below (FDS-05-022, -024, -009..011) remains authoritative for Machining OUT. Parent FK + split genealogy + sublot labels.</w:t>
      </w:r>
      <w:r>
        <w:t xml:space="preserve"> </w:t>
      </w:r>
      <w:r>
        <w:t xml:space="preserve">-</w:t>
      </w:r>
      <w:r>
        <w:t xml:space="preserve"> </w:t>
      </w:r>
      <w:r>
        <w:rPr>
          <w:b/>
          <w:bCs/>
        </w:rPr>
        <w:t xml:space="preserve">Basket-level sublots</w:t>
      </w:r>
      <w:r>
        <w:t xml:space="preserve"> </w:t>
      </w:r>
      <w:r>
        <w:t xml:space="preserve">from the 2026-04-20 addenda are absorbed by the Die Cast cavity-parallel-LOT model (one basket = one LOT = one label) or by the Machining sub-LOT split below.</w:t>
      </w:r>
    </w:p>
    <w:bookmarkStart w:id="119"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19"/>
    <w:bookmarkStart w:id="120" w:name="fds-05-023-superseded-v0.11"/>
    <w:p>
      <w:pPr>
        <w:pStyle w:val="Heading4"/>
      </w:pPr>
      <w:r>
        <w:t xml:space="preserve">FDS-05-023 — [Superseded v0.11]</w:t>
      </w:r>
    </w:p>
    <w:p>
      <w:pPr>
        <w:pStyle w:val="FirstParagraph"/>
      </w:pPr>
      <w:r>
        <w:rPr>
          <w:strike/>
        </w:rPr>
        <w:t xml:space="preserve">Per-cavity sublots at Die Cast</w:t>
      </w:r>
      <w:r>
        <w:t xml:space="preserve"> </w:t>
      </w:r>
      <w:r>
        <w:t xml:space="preserve">— superseded by the cavity-parallel-LOT-as-peer pattern. Each cavity produces a first-class LOT with its own</w:t>
      </w:r>
      <w:r>
        <w:t xml:space="preserve"> </w:t>
      </w:r>
      <w:r>
        <w:rPr>
          <w:rStyle w:val="VerbatimChar"/>
        </w:rPr>
        <w:t xml:space="preserve">ToolId</w:t>
      </w:r>
      <w:r>
        <w:t xml:space="preserve">/</w:t>
      </w:r>
      <w:r>
        <w:rPr>
          <w:rStyle w:val="VerbatimChar"/>
        </w:rPr>
        <w:t xml:space="preserve">ToolCavityId</w:t>
      </w:r>
      <w:r>
        <w:t xml:space="preserve"> </w:t>
      </w:r>
      <w:r>
        <w:t xml:space="preserve">per FDS-05-034. See §5.2 FDS-05-004 for creation. This requirement slot is retained empty to avoid renumbering downstream requirements.</w:t>
      </w:r>
    </w:p>
    <w:bookmarkEnd w:id="120"/>
    <w:bookmarkStart w:id="121"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1"/>
    <w:bookmarkStart w:id="122"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22"/>
    <w:bookmarkStart w:id="123"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3"/>
    <w:bookmarkStart w:id="124"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4"/>
    <w:bookmarkEnd w:id="125"/>
    <w:bookmarkStart w:id="133"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6"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6"/>
    <w:bookmarkStart w:id="127"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7"/>
    <w:bookmarkStart w:id="128"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8"/>
    <w:bookmarkStart w:id="129"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6"/>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6"/>
        </w:numPr>
      </w:pPr>
      <w:r>
        <w:t xml:space="preserve">If all source LOTs share the same die, the compatibility check is bypassed; proceed to FDS-05-028 (Quality Status Gating).</w:t>
      </w:r>
    </w:p>
    <w:p>
      <w:pPr>
        <w:pStyle w:val="Compact"/>
        <w:numPr>
          <w:ilvl w:val="0"/>
          <w:numId w:val="1016"/>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6"/>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6"/>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29"/>
    <w:bookmarkStart w:id="130"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30"/>
    <w:bookmarkStart w:id="131"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31"/>
    <w:bookmarkStart w:id="132" w:name="X4c22408620640bebb2a6f7f6c656d8632a09ad6"/>
    <w:p>
      <w:pPr>
        <w:pStyle w:val="Heading4"/>
      </w:pPr>
      <w:r>
        <w:t xml:space="preserve">FDS-05-030 — Post-Merge LOT Has NULL Tool / Cavity —</w:t>
      </w:r>
      <w:r>
        <w:t xml:space="preserve"> </w:t>
      </w:r>
      <w:r>
        <w:rPr>
          <w:rStyle w:val="VerbatimChar"/>
        </w:rPr>
        <w:t xml:space="preserve">MVP</w:t>
      </w:r>
      <w:r>
        <w:t xml:space="preserve"> </w:t>
      </w:r>
      <w:r>
        <w:t xml:space="preserve">(v0.11)</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 (OI-09 closed; Decision 10)</w:t>
      </w:r>
    </w:p>
    <w:bookmarkEnd w:id="132"/>
    <w:bookmarkEnd w:id="133"/>
    <w:bookmarkStart w:id="137" w:name="lot-status-transitions"/>
    <w:p>
      <w:pPr>
        <w:pStyle w:val="Heading3"/>
      </w:pPr>
      <w:r>
        <w:t xml:space="preserve">5.6 LOT Status Transitions</w:t>
      </w:r>
    </w:p>
    <w:bookmarkStart w:id="134"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4"/>
    <w:bookmarkStart w:id="135"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5"/>
    <w:bookmarkStart w:id="136"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6"/>
    <w:bookmarkEnd w:id="137"/>
    <w:bookmarkStart w:id="141" w:name="genealogy"/>
    <w:p>
      <w:pPr>
        <w:pStyle w:val="Heading3"/>
      </w:pPr>
      <w:r>
        <w:t xml:space="preserve">5.7 Genealogy</w:t>
      </w:r>
    </w:p>
    <w:bookmarkStart w:id="138"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8"/>
    <w:bookmarkStart w:id="139"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39"/>
    <w:bookmarkStart w:id="140"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0"/>
    <w:bookmarkEnd w:id="141"/>
    <w:bookmarkStart w:id="144" w:name="lot-label-management"/>
    <w:p>
      <w:pPr>
        <w:pStyle w:val="Heading3"/>
      </w:pPr>
      <w:r>
        <w:t xml:space="preserve">5.8 LOT Label Management</w:t>
      </w:r>
    </w:p>
    <w:bookmarkStart w:id="142"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2"/>
    <w:bookmarkStart w:id="143"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43"/>
    <w:bookmarkEnd w:id="144"/>
    <w:bookmarkStart w:id="146" w:name="lot-attribute-auditing"/>
    <w:p>
      <w:pPr>
        <w:pStyle w:val="Heading3"/>
      </w:pPr>
      <w:r>
        <w:t xml:space="preserve">5.9 LOT Attribute Auditing</w:t>
      </w:r>
    </w:p>
    <w:bookmarkStart w:id="145"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5"/>
    <w:bookmarkEnd w:id="146"/>
    <w:bookmarkStart w:id="148"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7"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7"/>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7"/>
        </w:numPr>
      </w:pPr>
      <w:r>
        <w:t xml:space="preserve">For each such item, check whether its BOM’s single line references the scanned LOT’s Item. The matching finished item is the destination part.</w:t>
      </w:r>
    </w:p>
    <w:p>
      <w:pPr>
        <w:pStyle w:val="Compact"/>
        <w:numPr>
          <w:ilvl w:val="0"/>
          <w:numId w:val="1017"/>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7"/>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7"/>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7"/>
    <w:bookmarkEnd w:id="148"/>
    <w:bookmarkEnd w:id="149"/>
    <w:bookmarkStart w:id="190" w:name="production-execution-mvp-expanded"/>
    <w:p>
      <w:pPr>
        <w:pStyle w:val="Heading2"/>
      </w:pPr>
      <w:r>
        <w:t xml:space="preserve">6. Production Execution —</w:t>
      </w:r>
      <w:r>
        <w:t xml:space="preserve"> </w:t>
      </w:r>
      <w:r>
        <w:rPr>
          <w:rStyle w:val="VerbatimChar"/>
        </w:rPr>
        <w:t xml:space="preserve">MVP-EXPANDED</w:t>
      </w:r>
    </w:p>
    <w:bookmarkStart w:id="150"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0"/>
    <w:bookmarkStart w:id="154" w:name="die-cast-workflow"/>
    <w:p>
      <w:pPr>
        <w:pStyle w:val="Heading3"/>
      </w:pPr>
      <w:r>
        <w:t xml:space="preserve">6.2 Die Cast Workflow</w:t>
      </w:r>
    </w:p>
    <w:bookmarkStart w:id="151"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1"/>
    <w:bookmarkStart w:id="152"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2"/>
    <w:bookmarkStart w:id="153" w:name="X36ebb4ae91860c810f39527622372060bd70014"/>
    <w:p>
      <w:pPr>
        <w:pStyle w:val="Heading4"/>
      </w:pPr>
      <w:r>
        <w:t xml:space="preserve">FDS-06-003 — Die Cast Production Event — revised v0.11 (checkpoint shape)</w:t>
      </w:r>
    </w:p>
    <w:p>
      <w:pPr>
        <w:pStyle w:val="FirstParagraph"/>
      </w:pPr>
      <w:r>
        <w:t xml:space="preserve">On operator submission at a Die Cast checkpoint (e.g., basket close, end-of-shift handoff, scrap-from-location action),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r>
        <w:t xml:space="preserve"> </w:t>
      </w:r>
      <w:r>
        <w:t xml:space="preserve">4. Log to</w:t>
      </w:r>
      <w:r>
        <w:t xml:space="preserve"> </w:t>
      </w:r>
      <w:r>
        <w:rPr>
          <w:rStyle w:val="VerbatimChar"/>
        </w:rPr>
        <w:t xml:space="preserve">Audit.OperationLog</w:t>
      </w:r>
      <w:r>
        <w:t xml:space="preserve">.</w:t>
      </w:r>
    </w:p>
    <w:p>
      <w:pPr>
        <w:pStyle w:val="BodyText"/>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3"/>
    <w:bookmarkEnd w:id="154"/>
    <w:bookmarkStart w:id="158" w:name="trim-shop-workflow"/>
    <w:p>
      <w:pPr>
        <w:pStyle w:val="Heading3"/>
      </w:pPr>
      <w:r>
        <w:t xml:space="preserve">6.3 Trim Shop Workflow</w:t>
      </w:r>
    </w:p>
    <w:bookmarkStart w:id="155"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5"/>
    <w:bookmarkStart w:id="156"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6"/>
    <w:bookmarkStart w:id="157"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7"/>
    <w:bookmarkEnd w:id="158"/>
    <w:bookmarkStart w:id="162" w:name="machining-workflow"/>
    <w:p>
      <w:pPr>
        <w:pStyle w:val="Heading3"/>
      </w:pPr>
      <w:r>
        <w:t xml:space="preserve">6.4 Machining Workflow</w:t>
      </w:r>
    </w:p>
    <w:bookmarkStart w:id="159"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59"/>
    <w:bookmarkStart w:id="160"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60"/>
    <w:bookmarkStart w:id="161"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1"/>
    <w:bookmarkEnd w:id="162"/>
    <w:bookmarkStart w:id="166" w:name="assembly-workflow-serialized-lines"/>
    <w:p>
      <w:pPr>
        <w:pStyle w:val="Heading3"/>
      </w:pPr>
      <w:r>
        <w:t xml:space="preserve">6.5 Assembly Workflow — Serialized Lines</w:t>
      </w:r>
    </w:p>
    <w:bookmarkStart w:id="163"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3"/>
    <w:bookmarkStart w:id="164"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64"/>
    <w:bookmarkStart w:id="165"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5"/>
    <w:bookmarkEnd w:id="166"/>
    <w:bookmarkStart w:id="169" w:name="assembly-workflow-non-serialized-lines"/>
    <w:p>
      <w:pPr>
        <w:pStyle w:val="Heading3"/>
      </w:pPr>
      <w:r>
        <w:t xml:space="preserve">6.6 Assembly Workflow — Non-Serialized Lines</w:t>
      </w:r>
    </w:p>
    <w:bookmarkStart w:id="167"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7"/>
    <w:bookmarkStart w:id="168"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8"/>
    <w:bookmarkEnd w:id="169"/>
    <w:bookmarkStart w:id="172" w:name="production-events"/>
    <w:p>
      <w:pPr>
        <w:pStyle w:val="Heading3"/>
      </w:pPr>
      <w:r>
        <w:t xml:space="preserve">6.7 Production Events</w:t>
      </w:r>
    </w:p>
    <w:bookmarkStart w:id="170"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0"/>
    <w:bookmarkStart w:id="171"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1"/>
    <w:bookmarkEnd w:id="172"/>
    <w:bookmarkStart w:id="177" w:name="reject-events-and-scrap-handling"/>
    <w:p>
      <w:pPr>
        <w:pStyle w:val="Heading3"/>
      </w:pPr>
      <w:r>
        <w:t xml:space="preserve">6.8 Reject Events and Scrap Handling</w:t>
      </w:r>
    </w:p>
    <w:bookmarkStart w:id="173"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3"/>
    <w:bookmarkStart w:id="174"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4"/>
    <w:bookmarkStart w:id="175"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8"/>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8"/>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9"/>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9"/>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5"/>
    <w:bookmarkStart w:id="176"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20"/>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20"/>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6"/>
    <w:bookmarkEnd w:id="177"/>
    <w:bookmarkStart w:id="180" w:name="consumption-events"/>
    <w:p>
      <w:pPr>
        <w:pStyle w:val="Heading3"/>
      </w:pPr>
      <w:r>
        <w:t xml:space="preserve">6.9 Consumption Events</w:t>
      </w:r>
    </w:p>
    <w:bookmarkStart w:id="178"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8"/>
    <w:bookmarkStart w:id="179"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79"/>
    <w:bookmarkEnd w:id="180"/>
    <w:bookmarkStart w:id="189"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(2026-04-24 correction of 2026-04-20):</w:t>
      </w:r>
      <w:r>
        <w:t xml:space="preserve"> </w:t>
      </w: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preserving the 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not a separate type. Under MPP’s actual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future WO types — neither is being built in this project. The</w:t>
      </w:r>
      <w:r>
        <w:t xml:space="preserve"> </w:t>
      </w:r>
      <w:r>
        <w:rPr>
          <w:rStyle w:val="VerbatimChar"/>
        </w:rPr>
        <w:t xml:space="preserve">Workorder.WorkOrderType</w:t>
      </w:r>
      <w:r>
        <w:t xml:space="preserve"> </w:t>
      </w:r>
      <w:r>
        <w:t xml:space="preserve">code table remains as a future hook so the maintenance 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remains as the Maintenance-targets-a-tool hook. FDS-06-027 Recipe has been</w:t>
      </w:r>
      <w:r>
        <w:t xml:space="preserve"> </w:t>
      </w:r>
      <w:r>
        <w:rPr>
          <w:b/>
          <w:bCs/>
        </w:rPr>
        <w:t xml:space="preserve">deleted</w:t>
      </w:r>
      <w:r>
        <w:t xml:space="preserve"> </w:t>
      </w:r>
      <w:r>
        <w:t xml:space="preserve">— there is no such concept.</w:t>
      </w:r>
    </w:p>
    <w:bookmarkStart w:id="181"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Auto-generation semantics are unchanged from the pre-v0.9 MVP-Lite design.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1"/>
    <w:bookmarkStart w:id="182"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1"/>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21"/>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21"/>
        </w:numPr>
      </w:pPr>
      <w:r>
        <w:rPr>
          <w:rStyle w:val="VerbatimChar"/>
        </w:rPr>
        <w:t xml:space="preserve">RouteTemplateId</w:t>
      </w:r>
      <w:r>
        <w:t xml:space="preserve"> </w:t>
      </w:r>
      <w:r>
        <w:t xml:space="preserve">— FK to the route template version active at creation</w:t>
      </w:r>
    </w:p>
    <w:p>
      <w:pPr>
        <w:pStyle w:val="Compact"/>
        <w:numPr>
          <w:ilvl w:val="0"/>
          <w:numId w:val="1021"/>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21"/>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2"/>
    <w:bookmarkStart w:id="183"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3"/>
    <w:bookmarkStart w:id="184"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p>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the</w:t>
      </w:r>
      <w:r>
        <w:t xml:space="preserve"> </w:t>
      </w:r>
      <w:r>
        <w:rPr>
          <w:rStyle w:val="VerbatimChar"/>
        </w:rPr>
        <w:t xml:space="preserve">WorkOrderType</w:t>
      </w:r>
      <w:r>
        <w:t xml:space="preserve"> </w:t>
      </w:r>
      <w:r>
        <w:t xml:space="preserve">seed with 3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SHALL rename Id=1</w:t>
      </w:r>
      <w:r>
        <w:t xml:space="preserve"> </w:t>
      </w:r>
      <w:r>
        <w:rPr>
          <w:rStyle w:val="VerbatimChar"/>
        </w:rPr>
        <w:t xml:space="preserve">Demand</w:t>
      </w:r>
      <w:r>
        <w:t xml:space="preserve">→</w:t>
      </w:r>
      <w:r>
        <w:rPr>
          <w:rStyle w:val="VerbatimChar"/>
        </w:rPr>
        <w:t xml:space="preserve">Production</w:t>
      </w:r>
      <w:r>
        <w:t xml:space="preserve">, DELETE Id=2 (</w:t>
      </w:r>
      <w:r>
        <w:rPr>
          <w:rStyle w:val="VerbatimChar"/>
        </w:rPr>
        <w:t xml:space="preserve">Maintenance</w:t>
      </w:r>
      <w:r>
        <w:t xml:space="preserve">) and Id=3 (</w:t>
      </w:r>
      <w:r>
        <w:rPr>
          <w:rStyle w:val="VerbatimChar"/>
        </w:rPr>
        <w:t xml:space="preserve">Recipe</w:t>
      </w:r>
      <w:r>
        <w:t xml:space="preserve">), and correct the test in</w:t>
      </w:r>
      <w:r>
        <w:t xml:space="preserve"> </w:t>
      </w:r>
      <w:r>
        <w:rPr>
          <w:rStyle w:val="VerbatimChar"/>
        </w:rPr>
        <w:t xml:space="preserve">sql/tests/0019_Parts_ConsumptionMetadata_And_ScrapSource/010_Phase_E_additives.sql</w:t>
      </w:r>
      <w:r>
        <w:t xml:space="preserve"> </w:t>
      </w:r>
      <w:r>
        <w:t xml:space="preserve">(currently asserts 3 rows + Code=</w:t>
      </w:r>
      <w:r>
        <w:t xml:space="preserve">‘Demand’</w:t>
      </w:r>
      <w:r>
        <w:t xml:space="preserve">). Not executed this turn; tracked in OIR OI-07.</w:t>
      </w:r>
    </w:p>
    <w:bookmarkEnd w:id="184"/>
    <w:bookmarkStart w:id="185"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22"/>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22"/>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pPr>
        <w:pStyle w:val="BodyText"/>
      </w:pPr>
      <w:r>
        <w:rPr>
          <w:i/>
          <w:iCs/>
        </w:rPr>
        <w:t xml:space="preserve">(FDS-06-027 Recipe Work Orders —</w:t>
      </w:r>
      <w:r>
        <w:rPr>
          <w:i/>
          <w:iCs/>
        </w:rPr>
        <w:t xml:space="preserve"> </w:t>
      </w:r>
      <w:r>
        <w:rPr>
          <w:b/>
          <w:bCs/>
          <w:i/>
          <w:iCs/>
        </w:rPr>
        <w:t xml:space="preserve">DELETED 2026-04-24</w:t>
      </w:r>
      <w:r>
        <w:rPr>
          <w:i/>
          <w:iCs/>
        </w:rPr>
        <w:t xml:space="preserve"> </w:t>
      </w:r>
      <w:r>
        <w:rPr>
          <w:i/>
          <w:iCs/>
        </w:rPr>
        <w:t xml:space="preserve">per OI-07 correction. The 2026-04-20 meeting note was mis-recorded; there is no Recipe WO concept. Requirement slot left vacant to avoid renumbering.)</w:t>
      </w:r>
    </w:p>
    <w:bookmarkEnd w:id="185"/>
    <w:bookmarkStart w:id="186"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rPr>
          <w:b/>
          <w:bCs/>
        </w:rPr>
        <w:t xml:space="preserve">OI-16 (new v0.10):</w:t>
      </w:r>
      <w:r>
        <w:t xml:space="preserve"> </w:t>
      </w:r>
      <w:r>
        <w:t xml:space="preserve">Production Work Orders SHALL support two automatic-finish modes, configurable per WO:</w:t>
      </w:r>
    </w:p>
    <w:p>
      <w:pPr>
        <w:pStyle w:val="Compact"/>
        <w:numPr>
          <w:ilvl w:val="0"/>
          <w:numId w:val="1023"/>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ProductionEvent.GoodCount</w:t>
      </w:r>
      <w:r>
        <w:t xml:space="preserve"> </w:t>
      </w:r>
      <w:r>
        <w:t xml:space="preserve">across all events under the WO is compared against the target on every write. When the cumulative count hits the target, the</w:t>
      </w:r>
      <w:r>
        <w:t xml:space="preserve"> </w:t>
      </w:r>
      <w:r>
        <w:rPr>
          <w:rStyle w:val="VerbatimChar"/>
        </w:rPr>
        <w:t xml:space="preserve">Workorder.ProductionEvent_Record</w:t>
      </w:r>
      <w:r>
        <w:t xml:space="preserve"> </w:t>
      </w:r>
      <w:r>
        <w:t xml:space="preserve">proc SHALL emit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3"/>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bookmarkEnd w:id="186"/>
    <w:bookmarkStart w:id="187"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lockText"/>
      </w:pPr>
      <w:r>
        <w:rPr>
          <w:b/>
          <w:bCs/>
        </w:rPr>
        <w:t xml:space="preserve">Note (v0.11):</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(via</w:t>
      </w:r>
      <w:r>
        <w:t xml:space="preserve"> </w:t>
      </w:r>
      <w:r>
        <w:rPr>
          <w:rStyle w:val="VerbatimChar"/>
        </w:rPr>
        <w:t xml:space="preserve">WorkOrderOperationId</w:t>
      </w:r>
      <w:r>
        <w:t xml:space="preserve"> </w:t>
      </w:r>
      <w:r>
        <w:t xml:space="preserve">or, when that is NULL, via LOT-WO matching on</w:t>
      </w:r>
      <w:r>
        <w:t xml:space="preserve"> </w:t>
      </w:r>
      <w:r>
        <w:rPr>
          <w:rStyle w:val="VerbatimChar"/>
        </w:rPr>
        <w:t xml:space="preserve">ItemId</w:t>
      </w:r>
      <w:r>
        <w:t xml:space="preserve"> </w:t>
      </w:r>
      <w:r>
        <w:t xml:space="preserve">+ time window). The v0.11 ProductionEvent reshape removed the per-event</w:t>
      </w:r>
      <w:r>
        <w:t xml:space="preserve"> </w:t>
      </w:r>
      <w:r>
        <w:rPr>
          <w:rStyle w:val="VerbatimChar"/>
        </w:rPr>
        <w:t xml:space="preserve">GoodCount</w:t>
      </w:r>
      <w:r>
        <w:t xml:space="preserve"> </w:t>
      </w:r>
      <w:r>
        <w:t xml:space="preserve">column — it is derived from the cumulative counters.</w:t>
      </w:r>
    </w:p>
    <w:bookmarkEnd w:id="187"/>
    <w:bookmarkStart w:id="188" w:name="X8d3927962f03373d5e06cc865960781ff82ab65"/>
    <w:p>
      <w:pPr>
        <w:pStyle w:val="Heading4"/>
      </w:pPr>
      <w:r>
        <w:t xml:space="preserve">FDS-06-030 — WorkOrder BIT-Flag Enumeration at Phase 0 —</w:t>
      </w:r>
      <w:r>
        <w:t xml:space="preserve"> </w:t>
      </w:r>
      <w:r>
        <w:rPr>
          <w:rStyle w:val="VerbatimChar"/>
        </w:rPr>
        <w:t xml:space="preserve">MVP</w:t>
      </w:r>
      <w:r>
        <w:t xml:space="preserve"> </w:t>
      </w:r>
      <w:r>
        <w:t xml:space="preserve">(Arc 2 Phase 0 input, v0.11)</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Arc 2 Phase 0 SHALL confirm with MPP which of the following are live in production; live flags become columns on</w:t>
      </w:r>
      <w:r>
        <w:t xml:space="preserve"> </w:t>
      </w:r>
      <w:r>
        <w:rPr>
          <w:rStyle w:val="VerbatimChar"/>
        </w:rPr>
        <w:t xml:space="preserve">Workorder.WorkOrder</w:t>
      </w:r>
      <w:r>
        <w:t xml:space="preserve"> </w:t>
      </w:r>
      <w:r>
        <w:t xml:space="preserve">at the Arc 2 Phase 1</w:t>
      </w:r>
      <w:r>
        <w:t xml:space="preserve"> </w:t>
      </w:r>
      <w:r>
        <w:rPr>
          <w:rStyle w:val="VerbatimChar"/>
        </w:rPr>
        <w:t xml:space="preserve">CREATE</w:t>
      </w:r>
      <w:r>
        <w:t xml:space="preserve">;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8"/>
    <w:bookmarkEnd w:id="189"/>
    <w:bookmarkEnd w:id="190"/>
    <w:bookmarkStart w:id="217" w:name="container-management-shipping-mvp"/>
    <w:p>
      <w:pPr>
        <w:pStyle w:val="Heading2"/>
      </w:pPr>
      <w:r>
        <w:t xml:space="preserve">7. Container Management &amp; Shipping —</w:t>
      </w:r>
      <w:r>
        <w:t xml:space="preserve"> </w:t>
      </w:r>
      <w:r>
        <w:rPr>
          <w:rStyle w:val="VerbatimChar"/>
        </w:rPr>
        <w:t xml:space="preserve">MVP</w:t>
      </w:r>
    </w:p>
    <w:bookmarkStart w:id="191"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1"/>
    <w:bookmarkStart w:id="197" w:name="container-lifecycle"/>
    <w:p>
      <w:pPr>
        <w:pStyle w:val="Heading3"/>
      </w:pPr>
      <w:r>
        <w:t xml:space="preserve">7.2 Container Lifecycle</w:t>
      </w:r>
    </w:p>
    <w:bookmarkStart w:id="192"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2"/>
    <w:bookmarkStart w:id="193"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3"/>
    <w:bookmarkStart w:id="194"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4"/>
    <w:bookmarkStart w:id="195"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5"/>
    <w:bookmarkStart w:id="196"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96"/>
    <w:bookmarkEnd w:id="197"/>
    <w:bookmarkStart w:id="202" w:name="shipping-labels"/>
    <w:p>
      <w:pPr>
        <w:pStyle w:val="Heading3"/>
      </w:pPr>
      <w:r>
        <w:t xml:space="preserve">7.3 Shipping Labels</w:t>
      </w:r>
    </w:p>
    <w:bookmarkStart w:id="198"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8"/>
    <w:bookmarkStart w:id="199"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99"/>
    <w:bookmarkStart w:id="200"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200"/>
    <w:bookmarkStart w:id="201"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1"/>
    <w:bookmarkEnd w:id="202"/>
    <w:bookmarkStart w:id="206" w:name="aim-integration"/>
    <w:p>
      <w:pPr>
        <w:pStyle w:val="Heading3"/>
      </w:pPr>
      <w:r>
        <w:t xml:space="preserve">7.4 AIM Integration</w:t>
      </w:r>
    </w:p>
    <w:bookmarkStart w:id="203"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203"/>
    <w:bookmarkStart w:id="204"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04"/>
    <w:bookmarkStart w:id="205"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5"/>
    <w:bookmarkEnd w:id="206"/>
    <w:bookmarkStart w:id="209" w:name="shipping-dock-workflow"/>
    <w:p>
      <w:pPr>
        <w:pStyle w:val="Heading3"/>
      </w:pPr>
      <w:r>
        <w:t xml:space="preserve">7.5 Shipping Dock Workflow</w:t>
      </w:r>
    </w:p>
    <w:bookmarkStart w:id="207"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07"/>
    <w:bookmarkStart w:id="208"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08"/>
    <w:bookmarkEnd w:id="209"/>
    <w:bookmarkStart w:id="212" w:name="container-holds"/>
    <w:p>
      <w:pPr>
        <w:pStyle w:val="Heading3"/>
      </w:pPr>
      <w:r>
        <w:t xml:space="preserve">7.6 Container Holds</w:t>
      </w:r>
    </w:p>
    <w:bookmarkStart w:id="210"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10"/>
    <w:bookmarkStart w:id="211"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11"/>
    <w:bookmarkEnd w:id="212"/>
    <w:bookmarkStart w:id="216" w:name="sort-cage-mvp-expanded"/>
    <w:p>
      <w:pPr>
        <w:pStyle w:val="Heading3"/>
      </w:pPr>
      <w:r>
        <w:t xml:space="preserve">7.7 Sort Cage —</w:t>
      </w:r>
      <w:r>
        <w:t xml:space="preserve"> </w:t>
      </w:r>
      <w:r>
        <w:rPr>
          <w:rStyle w:val="VerbatimChar"/>
        </w:rPr>
        <w:t xml:space="preserve">MVP-EXPANDED</w:t>
      </w:r>
    </w:p>
    <w:bookmarkStart w:id="213"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13"/>
    <w:bookmarkStart w:id="214"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14"/>
    <w:bookmarkStart w:id="215"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4"/>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4"/>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4"/>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5"/>
    <w:bookmarkEnd w:id="216"/>
    <w:bookmarkEnd w:id="217"/>
    <w:bookmarkStart w:id="243" w:name="quality-hold-management-mixed-scope"/>
    <w:p>
      <w:pPr>
        <w:pStyle w:val="Heading2"/>
      </w:pPr>
      <w:r>
        <w:t xml:space="preserve">8. Quality &amp; Hold Management — MIXED SCOPE</w:t>
      </w:r>
    </w:p>
    <w:bookmarkStart w:id="218"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18"/>
    <w:bookmarkStart w:id="227" w:name="hold-management-mvp-expanded"/>
    <w:p>
      <w:pPr>
        <w:pStyle w:val="Heading3"/>
      </w:pPr>
      <w:r>
        <w:t xml:space="preserve">8.2 Hold Management —</w:t>
      </w:r>
      <w:r>
        <w:t xml:space="preserve"> </w:t>
      </w:r>
      <w:r>
        <w:rPr>
          <w:rStyle w:val="VerbatimChar"/>
        </w:rPr>
        <w:t xml:space="preserve">MVP-EXPANDED</w:t>
      </w:r>
    </w:p>
    <w:bookmarkStart w:id="219"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19"/>
    <w:bookmarkStart w:id="220"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0"/>
    <w:bookmarkStart w:id="221"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1"/>
    <w:bookmarkStart w:id="222"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2"/>
    <w:bookmarkStart w:id="223"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3"/>
    <w:bookmarkStart w:id="224"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24"/>
    <w:bookmarkStart w:id="225"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5"/>
    <w:bookmarkStart w:id="226"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5"/>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5"/>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5"/>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5"/>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5"/>
        </w:numPr>
      </w:pPr>
      <w:r>
        <w:rPr>
          <w:b/>
          <w:bCs/>
        </w:rPr>
        <w:t xml:space="preserve">Bulk Hold / Bulk Release</w:t>
      </w:r>
      <w:r>
        <w:t xml:space="preserve"> </w:t>
      </w:r>
      <w:r>
        <w:t xml:space="preserve">— follows FDS-08-006 search + multi-select semantics.</w:t>
      </w:r>
    </w:p>
    <w:p>
      <w:pPr>
        <w:pStyle w:val="Compact"/>
        <w:numPr>
          <w:ilvl w:val="0"/>
          <w:numId w:val="1025"/>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26"/>
    <w:bookmarkEnd w:id="227"/>
    <w:bookmarkStart w:id="234" w:name="inspections-mvp"/>
    <w:p>
      <w:pPr>
        <w:pStyle w:val="Heading3"/>
      </w:pPr>
      <w:r>
        <w:t xml:space="preserve">8.3 Inspections —</w:t>
      </w:r>
      <w:r>
        <w:t xml:space="preserve"> </w:t>
      </w:r>
      <w:r>
        <w:rPr>
          <w:rStyle w:val="VerbatimChar"/>
        </w:rPr>
        <w:t xml:space="preserve">MVP</w:t>
      </w:r>
    </w:p>
    <w:bookmarkStart w:id="228"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28"/>
    <w:bookmarkStart w:id="229"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29"/>
    <w:bookmarkStart w:id="230"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0"/>
    <w:bookmarkStart w:id="231"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31"/>
    <w:bookmarkStart w:id="232"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2"/>
    <w:bookmarkStart w:id="233"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3"/>
    <w:bookmarkEnd w:id="234"/>
    <w:bookmarkStart w:id="237" w:name="sampling-workflows-conditional"/>
    <w:p>
      <w:pPr>
        <w:pStyle w:val="Heading3"/>
      </w:pPr>
      <w:r>
        <w:t xml:space="preserve">8.4 Sampling Workflows —</w:t>
      </w:r>
      <w:r>
        <w:t xml:space="preserve"> </w:t>
      </w:r>
      <w:r>
        <w:rPr>
          <w:rStyle w:val="VerbatimChar"/>
        </w:rPr>
        <w:t xml:space="preserve">CONDITIONAL</w:t>
      </w:r>
    </w:p>
    <w:bookmarkStart w:id="235"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5"/>
    <w:bookmarkStart w:id="236"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36"/>
    <w:bookmarkEnd w:id="237"/>
    <w:bookmarkStart w:id="240" w:name="defect-codes-mvp"/>
    <w:p>
      <w:pPr>
        <w:pStyle w:val="Heading3"/>
      </w:pPr>
      <w:r>
        <w:t xml:space="preserve">8.5 Defect Codes —</w:t>
      </w:r>
      <w:r>
        <w:t xml:space="preserve"> </w:t>
      </w:r>
      <w:r>
        <w:rPr>
          <w:rStyle w:val="VerbatimChar"/>
        </w:rPr>
        <w:t xml:space="preserve">MVP</w:t>
      </w:r>
    </w:p>
    <w:bookmarkStart w:id="238"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38"/>
    <w:bookmarkStart w:id="239"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39"/>
    <w:bookmarkEnd w:id="240"/>
    <w:bookmarkStart w:id="242" w:name="non-conformance-management-future"/>
    <w:p>
      <w:pPr>
        <w:pStyle w:val="Heading3"/>
      </w:pPr>
      <w:r>
        <w:t xml:space="preserve">8.6 Non-Conformance Management —</w:t>
      </w:r>
      <w:r>
        <w:t xml:space="preserve"> </w:t>
      </w:r>
      <w:r>
        <w:rPr>
          <w:rStyle w:val="VerbatimChar"/>
        </w:rPr>
        <w:t xml:space="preserve">FUTURE</w:t>
      </w:r>
    </w:p>
    <w:bookmarkStart w:id="241"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1"/>
    <w:bookmarkEnd w:id="242"/>
    <w:bookmarkEnd w:id="243"/>
    <w:bookmarkStart w:id="263" w:name="downtime-tracking-mixed-scope"/>
    <w:p>
      <w:pPr>
        <w:pStyle w:val="Heading2"/>
      </w:pPr>
      <w:r>
        <w:t xml:space="preserve">9. Downtime Tracking — MIXED SCOPE</w:t>
      </w:r>
    </w:p>
    <w:bookmarkStart w:id="244"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44"/>
    <w:bookmarkStart w:id="250" w:name="downtime-events-mvp"/>
    <w:p>
      <w:pPr>
        <w:pStyle w:val="Heading3"/>
      </w:pPr>
      <w:r>
        <w:t xml:space="preserve">9.2 Downtime Events —</w:t>
      </w:r>
      <w:r>
        <w:t xml:space="preserve"> </w:t>
      </w:r>
      <w:r>
        <w:rPr>
          <w:rStyle w:val="VerbatimChar"/>
        </w:rPr>
        <w:t xml:space="preserve">MVP</w:t>
      </w:r>
    </w:p>
    <w:bookmarkStart w:id="245"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5"/>
    <w:bookmarkStart w:id="246"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46"/>
    <w:bookmarkStart w:id="247"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47"/>
    <w:bookmarkStart w:id="248"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48"/>
    <w:bookmarkStart w:id="249"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49"/>
    <w:bookmarkEnd w:id="250"/>
    <w:bookmarkStart w:id="253" w:name="downtime-reason-codes-mvp"/>
    <w:p>
      <w:pPr>
        <w:pStyle w:val="Heading3"/>
      </w:pPr>
      <w:r>
        <w:t xml:space="preserve">9.3 Downtime Reason Codes —</w:t>
      </w:r>
      <w:r>
        <w:t xml:space="preserve"> </w:t>
      </w:r>
      <w:r>
        <w:rPr>
          <w:rStyle w:val="VerbatimChar"/>
        </w:rPr>
        <w:t xml:space="preserve">MVP</w:t>
      </w:r>
    </w:p>
    <w:bookmarkStart w:id="251"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1"/>
    <w:bookmarkStart w:id="252"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2"/>
    <w:bookmarkEnd w:id="253"/>
    <w:bookmarkStart w:id="260"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54"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54"/>
    <w:bookmarkStart w:id="255"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26"/>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26"/>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26"/>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5"/>
    <w:bookmarkStart w:id="256"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56"/>
    <w:bookmarkStart w:id="257"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57"/>
    <w:bookmarkStart w:id="258"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58"/>
    <w:bookmarkStart w:id="259"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59"/>
    <w:bookmarkEnd w:id="260"/>
    <w:bookmarkStart w:id="262" w:name="oee-future"/>
    <w:p>
      <w:pPr>
        <w:pStyle w:val="Heading3"/>
      </w:pPr>
      <w:r>
        <w:t xml:space="preserve">9.5 OEE —</w:t>
      </w:r>
      <w:r>
        <w:t xml:space="preserve"> </w:t>
      </w:r>
      <w:r>
        <w:rPr>
          <w:rStyle w:val="VerbatimChar"/>
        </w:rPr>
        <w:t xml:space="preserve">FUTURE</w:t>
      </w:r>
    </w:p>
    <w:bookmarkStart w:id="261"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1"/>
    <w:bookmarkEnd w:id="262"/>
    <w:bookmarkEnd w:id="263"/>
    <w:bookmarkStart w:id="281" w:name="plcopc-integration-mvp"/>
    <w:p>
      <w:pPr>
        <w:pStyle w:val="Heading2"/>
      </w:pPr>
      <w:r>
        <w:t xml:space="preserve">10. PLC/OPC Integration —</w:t>
      </w:r>
      <w:r>
        <w:t xml:space="preserve"> </w:t>
      </w:r>
      <w:r>
        <w:rPr>
          <w:rStyle w:val="VerbatimChar"/>
        </w:rPr>
        <w:t xml:space="preserve">MVP</w:t>
      </w:r>
    </w:p>
    <w:bookmarkStart w:id="264"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64"/>
    <w:bookmarkStart w:id="268" w:name="mip-handshake-protocol-serialized-lines"/>
    <w:p>
      <w:pPr>
        <w:pStyle w:val="Heading3"/>
      </w:pPr>
      <w:r>
        <w:t xml:space="preserve">10.2 MIP Handshake Protocol — Serialized Lines</w:t>
      </w:r>
    </w:p>
    <w:bookmarkStart w:id="265"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5"/>
    <w:bookmarkStart w:id="266"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66"/>
    <w:bookmarkStart w:id="267"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67"/>
    <w:bookmarkEnd w:id="268"/>
    <w:bookmarkStart w:id="275"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69"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69"/>
    <w:bookmarkStart w:id="270"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27"/>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27"/>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27"/>
        </w:numPr>
      </w:pPr>
      <w:r>
        <w:t xml:space="preserve">Route to escalation per FDS-10-009 / FDS-10-010 based on failure count and failure type.</w:t>
      </w:r>
    </w:p>
    <w:p>
      <w:pPr>
        <w:pStyle w:val="Compact"/>
        <w:numPr>
          <w:ilvl w:val="0"/>
          <w:numId w:val="1027"/>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27"/>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70"/>
    <w:bookmarkStart w:id="271"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28"/>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28"/>
        </w:numPr>
      </w:pPr>
      <w:r>
        <w:t xml:space="preserve">Require supervisor AD elevation (FDS-04-007) before production can resume on that cell.</w:t>
      </w:r>
    </w:p>
    <w:p>
      <w:pPr>
        <w:pStyle w:val="Compact"/>
        <w:numPr>
          <w:ilvl w:val="0"/>
          <w:numId w:val="1028"/>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1"/>
    <w:bookmarkStart w:id="272"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72"/>
    <w:bookmarkStart w:id="273"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29"/>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29"/>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73"/>
    <w:bookmarkStart w:id="274"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30"/>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30"/>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30"/>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30"/>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30"/>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74"/>
    <w:bookmarkEnd w:id="275"/>
    <w:bookmarkStart w:id="277" w:name="scale-integration"/>
    <w:p>
      <w:pPr>
        <w:pStyle w:val="Heading3"/>
      </w:pPr>
      <w:r>
        <w:t xml:space="preserve">10.4 Scale Integration</w:t>
      </w:r>
    </w:p>
    <w:bookmarkStart w:id="276"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76"/>
    <w:bookmarkEnd w:id="277"/>
    <w:bookmarkStart w:id="280" w:name="barcode-integration"/>
    <w:p>
      <w:pPr>
        <w:pStyle w:val="Heading3"/>
      </w:pPr>
      <w:r>
        <w:t xml:space="preserve">10.5 Barcode Integration</w:t>
      </w:r>
    </w:p>
    <w:bookmarkStart w:id="278"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78"/>
    <w:bookmarkStart w:id="279"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79"/>
    <w:bookmarkEnd w:id="280"/>
    <w:bookmarkEnd w:id="281"/>
    <w:bookmarkStart w:id="297" w:name="audit-logging-mvp"/>
    <w:p>
      <w:pPr>
        <w:pStyle w:val="Heading2"/>
      </w:pPr>
      <w:r>
        <w:t xml:space="preserve">11. Audit &amp; Logging —</w:t>
      </w:r>
      <w:r>
        <w:t xml:space="preserve"> </w:t>
      </w:r>
      <w:r>
        <w:rPr>
          <w:rStyle w:val="VerbatimChar"/>
        </w:rPr>
        <w:t xml:space="preserve">MVP</w:t>
      </w:r>
    </w:p>
    <w:bookmarkStart w:id="282"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82"/>
    <w:bookmarkStart w:id="288" w:name="log-types"/>
    <w:p>
      <w:pPr>
        <w:pStyle w:val="Heading3"/>
      </w:pPr>
      <w:r>
        <w:t xml:space="preserve">11.2 Log Types</w:t>
      </w:r>
    </w:p>
    <w:bookmarkStart w:id="283"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83"/>
    <w:bookmarkStart w:id="284"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84"/>
    <w:bookmarkStart w:id="285"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5"/>
    <w:bookmarkStart w:id="286"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86"/>
    <w:bookmarkStart w:id="287"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87"/>
    <w:bookmarkEnd w:id="288"/>
    <w:bookmarkStart w:id="293" w:name="normalized-vocabularies"/>
    <w:p>
      <w:pPr>
        <w:pStyle w:val="Heading3"/>
      </w:pPr>
      <w:r>
        <w:t xml:space="preserve">11.3 Normalized Vocabularies</w:t>
      </w:r>
    </w:p>
    <w:bookmarkStart w:id="289"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89"/>
    <w:bookmarkStart w:id="290"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0"/>
    <w:bookmarkStart w:id="291"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1"/>
    <w:bookmarkStart w:id="292"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31"/>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31"/>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31"/>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31"/>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92"/>
    <w:bookmarkEnd w:id="293"/>
    <w:bookmarkStart w:id="296" w:name="data-retention"/>
    <w:p>
      <w:pPr>
        <w:pStyle w:val="Heading3"/>
      </w:pPr>
      <w:r>
        <w:t xml:space="preserve">11.4 Data Retention</w:t>
      </w:r>
    </w:p>
    <w:bookmarkStart w:id="294"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94"/>
    <w:bookmarkStart w:id="295"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5"/>
    <w:bookmarkEnd w:id="296"/>
    <w:bookmarkEnd w:id="297"/>
    <w:bookmarkStart w:id="317" w:name="reporting-mvp"/>
    <w:p>
      <w:pPr>
        <w:pStyle w:val="Heading2"/>
      </w:pPr>
      <w:r>
        <w:t xml:space="preserve">12. Reporting —</w:t>
      </w:r>
      <w:r>
        <w:t xml:space="preserve"> </w:t>
      </w:r>
      <w:r>
        <w:rPr>
          <w:rStyle w:val="VerbatimChar"/>
        </w:rPr>
        <w:t xml:space="preserve">MVP</w:t>
      </w:r>
    </w:p>
    <w:bookmarkStart w:id="298"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98"/>
    <w:bookmarkStart w:id="303" w:name="traceability-reports"/>
    <w:p>
      <w:pPr>
        <w:pStyle w:val="Heading3"/>
      </w:pPr>
      <w:r>
        <w:t xml:space="preserve">12.2 Traceability Reports</w:t>
      </w:r>
    </w:p>
    <w:bookmarkStart w:id="299"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99"/>
    <w:bookmarkStart w:id="300"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0"/>
    <w:bookmarkStart w:id="301"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1"/>
    <w:bookmarkStart w:id="302"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02"/>
    <w:bookmarkEnd w:id="303"/>
    <w:bookmarkStart w:id="308" w:name="X20e5703298e30073c8ffa1040c87c727e57d853"/>
    <w:p>
      <w:pPr>
        <w:pStyle w:val="Heading3"/>
      </w:pPr>
      <w:r>
        <w:t xml:space="preserve">12.3 Production Reports (Replacing Productivity DB)</w:t>
      </w:r>
    </w:p>
    <w:bookmarkStart w:id="304"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04"/>
    <w:bookmarkStart w:id="305"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5"/>
    <w:bookmarkStart w:id="306"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06"/>
    <w:bookmarkStart w:id="307"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07"/>
    <w:bookmarkEnd w:id="308"/>
    <w:bookmarkStart w:id="312" w:name="operational-reports"/>
    <w:p>
      <w:pPr>
        <w:pStyle w:val="Heading3"/>
      </w:pPr>
      <w:r>
        <w:t xml:space="preserve">12.4 Operational Reports</w:t>
      </w:r>
    </w:p>
    <w:bookmarkStart w:id="309"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09"/>
    <w:bookmarkStart w:id="310"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0"/>
    <w:bookmarkStart w:id="311"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1"/>
    <w:bookmarkEnd w:id="312"/>
    <w:bookmarkStart w:id="316"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13"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13"/>
    <w:bookmarkStart w:id="314"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2"/>
        </w:numPr>
      </w:pPr>
      <w:r>
        <w:t xml:space="preserve">LOT</w:t>
      </w:r>
      <w:r>
        <w:t xml:space="preserve"> </w:t>
      </w:r>
      <w:r>
        <w:rPr>
          <w:rStyle w:val="VerbatimChar"/>
        </w:rPr>
        <w:t xml:space="preserve">LotName</w:t>
      </w:r>
      <w:r>
        <w:t xml:space="preserve"> </w:t>
      </w:r>
      <w:r>
        <w:t xml:space="preserve">(LTT barcode)</w:t>
      </w:r>
    </w:p>
    <w:p>
      <w:pPr>
        <w:pStyle w:val="Compact"/>
        <w:numPr>
          <w:ilvl w:val="0"/>
          <w:numId w:val="1032"/>
        </w:numPr>
      </w:pPr>
      <w:r>
        <w:t xml:space="preserve">Sub-LOT</w:t>
      </w:r>
      <w:r>
        <w:t xml:space="preserve"> </w:t>
      </w:r>
      <w:r>
        <w:rPr>
          <w:rStyle w:val="VerbatimChar"/>
        </w:rPr>
        <w:t xml:space="preserve">LotName</w:t>
      </w:r>
    </w:p>
    <w:p>
      <w:pPr>
        <w:pStyle w:val="Compact"/>
        <w:numPr>
          <w:ilvl w:val="0"/>
          <w:numId w:val="1032"/>
        </w:numPr>
      </w:pPr>
      <w:r>
        <w:t xml:space="preserve">Serialized part serial number (</w:t>
      </w:r>
      <w:r>
        <w:rPr>
          <w:rStyle w:val="VerbatimChar"/>
        </w:rPr>
        <w:t xml:space="preserve">SerializedPart.SerialNumber</w:t>
      </w:r>
      <w:r>
        <w:t xml:space="preserve">)</w:t>
      </w:r>
    </w:p>
    <w:p>
      <w:pPr>
        <w:pStyle w:val="Compact"/>
        <w:numPr>
          <w:ilvl w:val="0"/>
          <w:numId w:val="1032"/>
        </w:numPr>
      </w:pPr>
      <w:r>
        <w:t xml:space="preserve">Container</w:t>
      </w:r>
      <w:r>
        <w:t xml:space="preserve"> </w:t>
      </w:r>
      <w:r>
        <w:rPr>
          <w:rStyle w:val="VerbatimChar"/>
        </w:rPr>
        <w:t xml:space="preserve">ContainerName</w:t>
      </w:r>
    </w:p>
    <w:p>
      <w:pPr>
        <w:pStyle w:val="Compact"/>
        <w:numPr>
          <w:ilvl w:val="0"/>
          <w:numId w:val="1032"/>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14"/>
    <w:bookmarkStart w:id="315"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3"/>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3"/>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3"/>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3"/>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3"/>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3"/>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5"/>
    <w:bookmarkEnd w:id="316"/>
    <w:bookmarkEnd w:id="317"/>
    <w:bookmarkStart w:id="328" w:name="external-system-interfaces-mixed-scope"/>
    <w:p>
      <w:pPr>
        <w:pStyle w:val="Heading2"/>
      </w:pPr>
      <w:r>
        <w:t xml:space="preserve">13. External System Interfaces — MIXED SCOPE</w:t>
      </w:r>
    </w:p>
    <w:bookmarkStart w:id="321" w:name="aim-honda-edi-mvp"/>
    <w:p>
      <w:pPr>
        <w:pStyle w:val="Heading3"/>
      </w:pPr>
      <w:r>
        <w:t xml:space="preserve">13.1 AIM (Honda EDI) —</w:t>
      </w:r>
      <w:r>
        <w:t xml:space="preserve"> </w:t>
      </w:r>
      <w:r>
        <w:rPr>
          <w:rStyle w:val="VerbatimChar"/>
        </w:rPr>
        <w:t xml:space="preserve">MVP</w:t>
      </w:r>
    </w:p>
    <w:bookmarkStart w:id="318"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18"/>
    <w:bookmarkStart w:id="319"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19"/>
    <w:bookmarkStart w:id="320"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0"/>
    <w:bookmarkEnd w:id="321"/>
    <w:bookmarkStart w:id="323" w:name="macola-erp-future"/>
    <w:p>
      <w:pPr>
        <w:pStyle w:val="Heading3"/>
      </w:pPr>
      <w:r>
        <w:t xml:space="preserve">13.2 Macola ERP —</w:t>
      </w:r>
      <w:r>
        <w:t xml:space="preserve"> </w:t>
      </w:r>
      <w:r>
        <w:rPr>
          <w:rStyle w:val="VerbatimChar"/>
        </w:rPr>
        <w:t xml:space="preserve">FUTURE</w:t>
      </w:r>
    </w:p>
    <w:bookmarkStart w:id="322"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22"/>
    <w:bookmarkEnd w:id="323"/>
    <w:bookmarkStart w:id="325" w:name="intelex-quality-management-future"/>
    <w:p>
      <w:pPr>
        <w:pStyle w:val="Heading3"/>
      </w:pPr>
      <w:r>
        <w:t xml:space="preserve">13.3 Intelex (Quality Management) —</w:t>
      </w:r>
      <w:r>
        <w:t xml:space="preserve"> </w:t>
      </w:r>
      <w:r>
        <w:rPr>
          <w:rStyle w:val="VerbatimChar"/>
        </w:rPr>
        <w:t xml:space="preserve">FUTURE</w:t>
      </w:r>
    </w:p>
    <w:bookmarkStart w:id="324"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24"/>
    <w:bookmarkEnd w:id="325"/>
    <w:bookmarkStart w:id="327" w:name="scada-process-dashboards-future"/>
    <w:p>
      <w:pPr>
        <w:pStyle w:val="Heading3"/>
      </w:pPr>
      <w:r>
        <w:t xml:space="preserve">13.4 SCADA / Process Dashboards —</w:t>
      </w:r>
      <w:r>
        <w:t xml:space="preserve"> </w:t>
      </w:r>
      <w:r>
        <w:rPr>
          <w:rStyle w:val="VerbatimChar"/>
        </w:rPr>
        <w:t xml:space="preserve">FUTURE</w:t>
      </w:r>
    </w:p>
    <w:bookmarkStart w:id="326"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26"/>
    <w:bookmarkEnd w:id="327"/>
    <w:bookmarkEnd w:id="328"/>
    <w:bookmarkStart w:id="335" w:name="data-migration-conditional"/>
    <w:p>
      <w:pPr>
        <w:pStyle w:val="Heading2"/>
      </w:pPr>
      <w:r>
        <w:t xml:space="preserve">14. Data Migration —</w:t>
      </w:r>
      <w:r>
        <w:t xml:space="preserve"> </w:t>
      </w:r>
      <w:r>
        <w:rPr>
          <w:rStyle w:val="VerbatimChar"/>
        </w:rPr>
        <w:t xml:space="preserve">CONDITIONAL</w:t>
      </w:r>
    </w:p>
    <w:bookmarkStart w:id="334"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29"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29"/>
    <w:bookmarkStart w:id="330"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0"/>
    <w:bookmarkStart w:id="331"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1"/>
    <w:bookmarkStart w:id="332"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32"/>
    <w:bookmarkStart w:id="333"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4"/>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4"/>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4"/>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4"/>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33"/>
    <w:bookmarkEnd w:id="334"/>
    <w:bookmarkEnd w:id="335"/>
    <w:bookmarkStart w:id="346" w:name="deployment-commissioning-mvp"/>
    <w:p>
      <w:pPr>
        <w:pStyle w:val="Heading2"/>
      </w:pPr>
      <w:r>
        <w:t xml:space="preserve">15. Deployment &amp; Commissioning —</w:t>
      </w:r>
      <w:r>
        <w:t xml:space="preserve"> </w:t>
      </w:r>
      <w:r>
        <w:rPr>
          <w:rStyle w:val="VerbatimChar"/>
        </w:rPr>
        <w:t xml:space="preserve">MVP</w:t>
      </w:r>
    </w:p>
    <w:bookmarkStart w:id="342" w:name="deployment-approach"/>
    <w:p>
      <w:pPr>
        <w:pStyle w:val="Heading3"/>
      </w:pPr>
      <w:r>
        <w:t xml:space="preserve">15.1 Deployment Approach</w:t>
      </w:r>
    </w:p>
    <w:bookmarkStart w:id="336"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36"/>
    <w:bookmarkStart w:id="337"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37"/>
    <w:bookmarkStart w:id="338"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38"/>
    <w:bookmarkStart w:id="339"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39"/>
    <w:bookmarkStart w:id="340"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0"/>
    <w:bookmarkStart w:id="341"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1"/>
    <w:bookmarkEnd w:id="342"/>
    <w:bookmarkStart w:id="345" w:name="change-management"/>
    <w:p>
      <w:pPr>
        <w:pStyle w:val="Heading3"/>
      </w:pPr>
      <w:r>
        <w:t xml:space="preserve">15.2 Change Management</w:t>
      </w:r>
    </w:p>
    <w:bookmarkStart w:id="343"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43"/>
    <w:bookmarkStart w:id="344"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44"/>
    <w:bookmarkEnd w:id="345"/>
    <w:bookmarkEnd w:id="346"/>
    <w:bookmarkStart w:id="350" w:name="X8a16a0183f1595dd9617c9a3941ffd7274aecd0"/>
    <w:p>
      <w:pPr>
        <w:pStyle w:val="Heading2"/>
      </w:pPr>
      <w:r>
        <w:t xml:space="preserve">16. Identifier Sequences —</w:t>
      </w:r>
      <w:r>
        <w:t xml:space="preserve"> </w:t>
      </w:r>
      <w:r>
        <w:rPr>
          <w:rStyle w:val="VerbatimChar"/>
        </w:rPr>
        <w:t xml:space="preserve">MVP</w:t>
      </w:r>
      <w:r>
        <w:t xml:space="preserve"> </w:t>
      </w:r>
      <w:r>
        <w:t xml:space="preserve">(new in v0.11, OI-31)</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47"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47"/>
    <w:bookmarkStart w:id="348"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35"/>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35"/>
        </w:numPr>
      </w:pPr>
      <w:r>
        <w:t xml:space="preserve">Raise a business-rule error if no rows match (</w:t>
      </w:r>
      <w:r>
        <w:rPr>
          <w:rStyle w:val="VerbatimChar"/>
        </w:rPr>
        <w:t xml:space="preserve">@Code</w:t>
      </w:r>
      <w:r>
        <w:t xml:space="preserve"> </w:t>
      </w:r>
      <w:r>
        <w:t xml:space="preserve">unknown).</w:t>
      </w:r>
    </w:p>
    <w:p>
      <w:pPr>
        <w:pStyle w:val="Compact"/>
        <w:numPr>
          <w:ilvl w:val="0"/>
          <w:numId w:val="1035"/>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35"/>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35"/>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48"/>
    <w:bookmarkStart w:id="349" w:name="fds-16-003-cutover-day-seeding"/>
    <w:p>
      <w:pPr>
        <w:pStyle w:val="Heading4"/>
      </w:pPr>
      <w:r>
        <w:t xml:space="preserve">FDS-16-003 — Cutover-Day Seeding</w:t>
      </w:r>
    </w:p>
    <w:p>
      <w:pPr>
        <w:pStyle w:val="FirstParagraph"/>
      </w:pPr>
      <w:r>
        <w:t xml:space="preserve">The Arc 2 Phase 1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49"/>
    <w:bookmarkEnd w:id="350"/>
    <w:bookmarkStart w:id="359" w:name="appendices"/>
    <w:p>
      <w:pPr>
        <w:pStyle w:val="Heading2"/>
      </w:pPr>
      <w:r>
        <w:t xml:space="preserve">Appendices</w:t>
      </w:r>
    </w:p>
    <w:bookmarkStart w:id="351"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1"/>
    <w:bookmarkStart w:id="352"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52"/>
    <w:bookmarkStart w:id="353"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53"/>
    <w:bookmarkStart w:id="354"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54"/>
    <w:bookmarkStart w:id="355"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55"/>
    <w:bookmarkStart w:id="356"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56"/>
    <w:bookmarkStart w:id="357"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57"/>
    <w:bookmarkStart w:id="358"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58"/>
    <w:bookmarkEnd w:id="359"/>
    <w:bookmarkStart w:id="360"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Revised 2026-04-20 (addenda):</w:t>
            </w:r>
            <w:r>
              <w:t xml:space="preserve"> </w:t>
            </w:r>
            <w:r>
              <w:t xml:space="preserve">dedicated ≈80% / shared ≈20% via</w:t>
            </w:r>
            <w:r>
              <w:t xml:space="preserve"> </w:t>
            </w:r>
            <w:r>
              <w:rPr>
                <w:rStyle w:val="VerbatimChar"/>
              </w:rPr>
              <w:t xml:space="preserve">TerminalMode</w:t>
            </w:r>
            <w:r>
              <w:t xml:space="preserve"> </w:t>
            </w:r>
            <w:r>
              <w:t xml:space="preserve">attribute,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Revised — Addenda</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60"/>
    <w:bookmarkEnd w:id="3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2026-04-24T21:35:16Z</dcterms:created>
  <dcterms:modified xsi:type="dcterms:W3CDTF">2026-04-24T21:35:16Z</dcterms:modified>
</cp:coreProperties>
</file>

<file path=docProps/custom.xml><?xml version="1.0" encoding="utf-8"?>
<Properties xmlns="http://schemas.openxmlformats.org/officeDocument/2006/custom-properties" xmlns:vt="http://schemas.openxmlformats.org/officeDocument/2006/docPropsVTypes"/>
</file>