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44.png" ContentType="image/png"/>
  <Override PartName="/word/media/rId48.png" ContentType="image/png"/>
  <Override PartName="/word/media/rId27.png" ContentType="image/png"/>
  <Override PartName="/word/media/rId33.png" ContentType="image/png"/>
  <Override PartName="/word/media/rId21.png" ContentType="image/png"/>
  <Override PartName="/word/media/rId30.png" ContentType="image/png"/>
  <Override PartName="/word/media/rId24.png" ContentType="image/png"/>
  <Override PartName="/word/media/rId37.png" ContentType="image/png"/>
  <Override PartName="/word/media/rId14.png" ContentType="image/png"/>
  <Override PartName="/word/media/rId4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p>
            <w:pPr>
              <w:pStyle w:val="Compact"/>
            </w:pPr>
            <w:r>
              <w:t xml:space="preserve">0.6</w:t>
            </w:r>
          </w:p>
        </w:tc>
        <w:tc>
          <w:tcPr/>
          <w:p>
            <w:pPr>
              <w:pStyle w:val="Compact"/>
            </w:pPr>
            <w:r>
              <w:t xml:space="preserve">2026-04-16</w:t>
            </w:r>
          </w:p>
        </w:tc>
        <w:tc>
          <w:tcPr/>
          <w:p>
            <w:pPr>
              <w:pStyle w:val="Compact"/>
            </w:pPr>
            <w:r>
              <w:t xml:space="preserve">Hunter Kraft</w:t>
            </w:r>
          </w:p>
        </w:tc>
        <w:tc>
          <w:tcPr/>
          <w:p>
            <w:pPr>
              <w:pStyle w:val="Compact"/>
            </w:pPr>
            <w:r>
              <w:t xml:space="preserve">Mockup screenshots reviewed and incorporated into Arc 1 narrative. UI details (screen names, field labels, button labels, layout descriptions) updated to match the actual Perspective mockup. In progress — updating section by section as screenshots are reviewed.</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Arc</w:t>
            </w:r>
          </w:p>
        </w:tc>
        <w:tc>
          <w:tcPr/>
          <w:p>
            <w:pPr>
              <w:pStyle w:val="Compact"/>
            </w:pPr>
            <w:r>
              <w:t xml:space="preserve">Who</w:t>
            </w:r>
          </w:p>
        </w:tc>
        <w:tc>
          <w:tcPr/>
          <w:p>
            <w:pPr>
              <w:pStyle w:val="Compact"/>
            </w:pPr>
            <w:r>
              <w:t xml:space="preserve">When</w:t>
            </w:r>
          </w:p>
        </w:tc>
        <w:tc>
          <w:tcPr/>
          <w:p>
            <w:pPr>
              <w:pStyle w:val="Compact"/>
            </w:pPr>
            <w: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p>
            <w:pPr>
              <w:pStyle w:val="Compact"/>
            </w:pPr>
            <w:r>
              <w:rPr>
                <w:b/>
                <w:bCs/>
              </w:rPr>
              <w:t xml:space="preserve">Plant Floor MES</w:t>
            </w:r>
          </w:p>
        </w:tc>
        <w:tc>
          <w:tcPr/>
          <w:p>
            <w:pPr>
              <w:pStyle w:val="Compact"/>
            </w:pPr>
            <w:r>
              <w:t xml:space="preserve">Operators, supervisors, quality, shipping</w:t>
            </w:r>
          </w:p>
        </w:tc>
        <w:tc>
          <w:tcPr/>
          <w:p>
            <w:pPr>
              <w:pStyle w:val="Compact"/>
            </w:pPr>
            <w:r>
              <w:t xml:space="preserve">Every shift, all day</w:t>
            </w:r>
          </w:p>
        </w:tc>
        <w:tc>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55"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7" w:name="building-the-plant"/>
    <w:p>
      <w:pPr>
        <w:pStyle w:val="Heading3"/>
      </w:pPr>
      <w:r>
        <w:t xml:space="preserve">Building the Plant</w:t>
      </w:r>
    </w:p>
    <w:p>
      <w:pPr>
        <w:pStyle w:val="FirstParagraph"/>
      </w:pPr>
      <w:r>
        <w:t xml:space="preserve">The engineer’s first job is the plant model. They navigate to the</w:t>
      </w:r>
      <w:r>
        <w:t xml:space="preserve"> </w:t>
      </w:r>
      <w:r>
        <w:rPr>
          <w:b/>
          <w:bCs/>
        </w:rPr>
        <w:t xml:space="preserve">Plant</w:t>
      </w:r>
      <w:r>
        <w:t xml:space="preserve"> </w:t>
      </w:r>
      <w:r>
        <w:t xml:space="preserve">category in the left rail and open the</w:t>
      </w:r>
      <w:r>
        <w:t xml:space="preserve"> </w:t>
      </w:r>
      <w:r>
        <w:rPr>
          <w:b/>
          <w:bCs/>
        </w:rPr>
        <w:t xml:space="preserve">Plant Hierarchy</w:t>
      </w:r>
      <w:r>
        <w:t xml:space="preserve"> </w:t>
      </w:r>
      <w:r>
        <w:t xml:space="preserve">screen. The left panel shows the full location tree — each node labeled with its ISA-95 tier on the right (Enterprise, Site, Area, Cell). A</w:t>
      </w:r>
      <w:r>
        <w:t xml:space="preserve"> </w:t>
      </w:r>
      <w:r>
        <w:rPr>
          <w:b/>
          <w:bCs/>
        </w:rPr>
        <w:t xml:space="preserve">Search locations…</w:t>
      </w:r>
      <w:r>
        <w:t xml:space="preserve"> </w:t>
      </w:r>
      <w:r>
        <w:t xml:space="preserve">bar at the top of the tree lets them jump directly to any location by name. The</w:t>
      </w:r>
      <w:r>
        <w:t xml:space="preserve"> </w:t>
      </w:r>
      <w:r>
        <w:rPr>
          <w:b/>
          <w:bCs/>
        </w:rPr>
        <w:t xml:space="preserve">+ Add Location</w:t>
      </w:r>
      <w:r>
        <w:t xml:space="preserve"> </w:t>
      </w:r>
      <w:r>
        <w:t xml:space="preserve">button in the top right of the screen opens the creation flow.</w:t>
      </w:r>
    </w:p>
    <w:p>
      <w:pPr>
        <w:pStyle w:val="BodyText"/>
      </w:pPr>
      <w:r>
        <w:t xml:space="preserve">The hierarchy is built top-down. Madison Precision Products is the Enterprise. Under it, Madison Facility is the Site. Under that, the Areas: Die Cast, Trim Shop, Machine Shop, Production Control, Quality Control. Under each area, the individual machines as Cells — all ~230 of them.</w:t>
      </w:r>
    </w:p>
    <w:p>
      <w:pPr>
        <w:pStyle w:val="BodyText"/>
      </w:pPr>
      <w:r>
        <w:t xml:space="preserve">When the engineer clicks</w:t>
      </w:r>
      <w:r>
        <w:t xml:space="preserve"> </w:t>
      </w:r>
      <w:r>
        <w:rPr>
          <w:b/>
          <w:bCs/>
        </w:rPr>
        <w:t xml:space="preserve">+ Add Location</w:t>
      </w:r>
      <w:r>
        <w:t xml:space="preserve">, a modal appears with four fields:</w:t>
      </w:r>
      <w:r>
        <w:t xml:space="preserve"> </w:t>
      </w:r>
      <w:r>
        <w:rPr>
          <w:b/>
          <w:bCs/>
        </w:rPr>
        <w:t xml:space="preserve">Location Type Definition</w:t>
      </w:r>
      <w:r>
        <w:t xml:space="preserve"> </w:t>
      </w:r>
      <w:r>
        <w:t xml:space="preserve">(a dropdown that sets both the ISA-95 tier and the polymorphic kind — e.g.,</w:t>
      </w:r>
      <w:r>
        <w:t xml:space="preserve"> </w:t>
      </w:r>
      <w:r>
        <w:rPr>
          <w:rStyle w:val="VerbatimChar"/>
        </w:rPr>
        <w:t xml:space="preserve">Cell • DieCastMachine</w:t>
      </w:r>
      <w:r>
        <w:t xml:space="preserve">),</w:t>
      </w:r>
      <w:r>
        <w:t xml:space="preserve"> </w:t>
      </w:r>
      <w:r>
        <w:rPr>
          <w:b/>
          <w:bCs/>
        </w:rPr>
        <w:t xml:space="preserve">Name</w:t>
      </w:r>
      <w:r>
        <w:t xml:space="preserve"> </w:t>
      </w:r>
      <w:r>
        <w:t xml:space="preserve">(e.g., DC Machine #20),</w:t>
      </w:r>
      <w:r>
        <w:t xml:space="preserve"> </w:t>
      </w:r>
      <w:r>
        <w:rPr>
          <w:b/>
          <w:bCs/>
        </w:rPr>
        <w:t xml:space="preserve">Code</w:t>
      </w:r>
      <w:r>
        <w:t xml:space="preserve"> </w:t>
      </w:r>
      <w:r>
        <w:t xml:space="preserve">(e.g., DC-020), and an optional</w:t>
      </w:r>
      <w:r>
        <w:t xml:space="preserve"> </w:t>
      </w:r>
      <w:r>
        <w:rPr>
          <w:b/>
          <w:bCs/>
        </w:rPr>
        <w:t xml:space="preserve">Description</w:t>
      </w:r>
      <w:r>
        <w:t xml:space="preserve">. Clicking</w:t>
      </w:r>
      <w:r>
        <w:t xml:space="preserve"> </w:t>
      </w:r>
      <w:r>
        <w:rPr>
          <w:b/>
          <w:bCs/>
        </w:rPr>
        <w:t xml:space="preserve">Create Location</w:t>
      </w:r>
      <w:r>
        <w:t xml:space="preserve"> </w:t>
      </w:r>
      <w:r>
        <w:t xml:space="preserve">adds the new node to the tree and opens its detail panel for attribute entry. Cancel dismisses without saving.</w:t>
      </w:r>
    </w:p>
    <w:p>
      <w:pPr>
        <w:pStyle w:val="CaptionedFigure"/>
      </w:pPr>
      <w:r>
        <w:drawing>
          <wp:inline>
            <wp:extent cx="5334000" cy="3168927"/>
            <wp:effectExtent b="0" l="0" r="0" t="0"/>
            <wp:docPr descr="Add Location Modal" title="" id="12" name="Picture"/>
            <a:graphic>
              <a:graphicData uri="http://schemas.openxmlformats.org/drawingml/2006/picture">
                <pic:pic>
                  <pic:nvPicPr>
                    <pic:cNvPr descr="docs/screenshots/screen-add-location-modal.png" id="13" name="Picture"/>
                    <pic:cNvPicPr>
                      <a:picLocks noChangeArrowheads="1" noChangeAspect="1"/>
                    </pic:cNvPicPr>
                  </pic:nvPicPr>
                  <pic:blipFill>
                    <a:blip r:embed="rId11"/>
                    <a:stretch>
                      <a:fillRect/>
                    </a:stretch>
                  </pic:blipFill>
                  <pic:spPr bwMode="auto">
                    <a:xfrm>
                      <a:off x="0" y="0"/>
                      <a:ext cx="5334000" cy="3168927"/>
                    </a:xfrm>
                    <a:prstGeom prst="rect">
                      <a:avLst/>
                    </a:prstGeom>
                    <a:noFill/>
                    <a:ln w="9525">
                      <a:noFill/>
                      <a:headEnd/>
                      <a:tailEnd/>
                    </a:ln>
                  </pic:spPr>
                </pic:pic>
              </a:graphicData>
            </a:graphic>
          </wp:inline>
        </w:drawing>
      </w:r>
    </w:p>
    <w:p>
      <w:pPr>
        <w:pStyle w:val="ImageCaption"/>
      </w:pPr>
      <w:r>
        <w:t xml:space="preserve">Add Location Modal</w:t>
      </w:r>
    </w:p>
    <w:p>
      <w:pPr>
        <w:pStyle w:val="BodyText"/>
      </w:pPr>
      <w:r>
        <w:t xml:space="preserve">Clicking any node in the tree loads its</w:t>
      </w:r>
      <w:r>
        <w:t xml:space="preserve"> </w:t>
      </w:r>
      <w:r>
        <w:rPr>
          <w:b/>
          <w:bCs/>
        </w:rPr>
        <w:t xml:space="preserve">Location Details</w:t>
      </w:r>
      <w:r>
        <w:t xml:space="preserve"> </w:t>
      </w:r>
      <w:r>
        <w:t xml:space="preserve">panel on the right. The panel header shows the location’s type tags — for example,</w:t>
      </w:r>
      <w:r>
        <w:t xml:space="preserve"> </w:t>
      </w:r>
      <w:r>
        <w:rPr>
          <w:rStyle w:val="VerbatimChar"/>
        </w:rPr>
        <w:t xml:space="preserve">Cell • DieCastMachine</w:t>
      </w:r>
      <w:r>
        <w:t xml:space="preserve"> </w:t>
      </w:r>
      <w:r>
        <w:t xml:space="preserve">— so the engineer always knows both the ISA-95 tier and the polymorphic kind at a glance. The core fields are</w:t>
      </w:r>
      <w:r>
        <w:t xml:space="preserve"> </w:t>
      </w:r>
      <w:r>
        <w:rPr>
          <w:b/>
          <w:bCs/>
        </w:rPr>
        <w:t xml:space="preserve">Name</w:t>
      </w:r>
      <w:r>
        <w:t xml:space="preserve">,</w:t>
      </w:r>
      <w:r>
        <w:t xml:space="preserve"> </w:t>
      </w:r>
      <w:r>
        <w:rPr>
          <w:b/>
          <w:bCs/>
        </w:rPr>
        <w:t xml:space="preserve">Code</w:t>
      </w:r>
      <w:r>
        <w:t xml:space="preserve">,</w:t>
      </w:r>
      <w:r>
        <w:t xml:space="preserve"> </w:t>
      </w:r>
      <w:r>
        <w:rPr>
          <w:b/>
          <w:bCs/>
        </w:rPr>
        <w:t xml:space="preserve">Parent</w:t>
      </w:r>
      <w:r>
        <w:t xml:space="preserve">,</w:t>
      </w:r>
      <w:r>
        <w:t xml:space="preserve"> </w:t>
      </w:r>
      <w:r>
        <w:rPr>
          <w:b/>
          <w:bCs/>
        </w:rPr>
        <w:t xml:space="preserve">Description</w:t>
      </w:r>
      <w:r>
        <w:t xml:space="preserve">, and</w:t>
      </w:r>
      <w:r>
        <w:t xml:space="preserve"> </w:t>
      </w:r>
      <w:r>
        <w:rPr>
          <w:b/>
          <w:bCs/>
        </w:rPr>
        <w:t xml:space="preserve">Sort Order</w:t>
      </w:r>
      <w:r>
        <w:t xml:space="preserve">.</w:t>
      </w:r>
      <w:r>
        <w:t xml:space="preserve"> </w:t>
      </w:r>
      <w:r>
        <w:rPr>
          <w:b/>
          <w:bCs/>
        </w:rPr>
        <w:t xml:space="preserve">Save</w:t>
      </w:r>
      <w:r>
        <w:t xml:space="preserve"> </w:t>
      </w:r>
      <w:r>
        <w:t xml:space="preserve">and</w:t>
      </w:r>
      <w:r>
        <w:t xml:space="preserve"> </w:t>
      </w:r>
      <w:r>
        <w:rPr>
          <w:b/>
          <w:bCs/>
        </w:rPr>
        <w:t xml:space="preserve">Deprecate</w:t>
      </w:r>
      <w:r>
        <w:t xml:space="preserve"> </w:t>
      </w:r>
      <w:r>
        <w:t xml:space="preserve">actions sit in the top-right corner of the panel.</w:t>
      </w:r>
    </w:p>
    <w:p>
      <w:pPr>
        <w:pStyle w:val="BodyText"/>
      </w:pPr>
      <w:r>
        <w:t xml:space="preserve">Below the core fields, the</w:t>
      </w:r>
      <w:r>
        <w:t xml:space="preserve"> </w:t>
      </w:r>
      <w:r>
        <w:rPr>
          <w:b/>
          <w:bCs/>
        </w:rPr>
        <w:t xml:space="preserve">Attributes</w:t>
      </w:r>
      <w:r>
        <w:t xml:space="preserve"> </w:t>
      </w:r>
      <w:r>
        <w:t xml:space="preserve">section displays the schema for that location’s kind. DC Machine #7, for example, shows the</w:t>
      </w:r>
      <w:r>
        <w:t xml:space="preserve"> </w:t>
      </w:r>
      <w:r>
        <w:rPr>
          <w:rStyle w:val="VerbatimChar"/>
        </w:rPr>
        <w:t xml:space="preserve">DieCastMachine</w:t>
      </w:r>
      <w:r>
        <w:t xml:space="preserve"> </w:t>
      </w:r>
      <w:r>
        <w:t xml:space="preserve">schema:</w:t>
      </w:r>
      <w:r>
        <w:t xml:space="preserve"> </w:t>
      </w:r>
      <w:r>
        <w:rPr>
          <w:b/>
          <w:bCs/>
        </w:rPr>
        <w:t xml:space="preserve">Tonnage</w:t>
      </w:r>
      <w:r>
        <w:t xml:space="preserve"> </w:t>
      </w:r>
      <w:r>
        <w:t xml:space="preserve">(400, DECIMAL, tons — required),</w:t>
      </w:r>
      <w:r>
        <w:t xml:space="preserve"> </w:t>
      </w:r>
      <w:r>
        <w:rPr>
          <w:b/>
          <w:bCs/>
        </w:rPr>
        <w:t xml:space="preserve">NumberOfCavities</w:t>
      </w:r>
      <w:r>
        <w:t xml:space="preserve"> </w:t>
      </w:r>
      <w:r>
        <w:t xml:space="preserve">(2, INT — required), and</w:t>
      </w:r>
      <w:r>
        <w:t xml:space="preserve"> </w:t>
      </w:r>
      <w:r>
        <w:rPr>
          <w:b/>
          <w:bCs/>
        </w:rPr>
        <w:t xml:space="preserve">RefCycleTimeSec</w:t>
      </w:r>
      <w:r>
        <w:t xml:space="preserve"> </w:t>
      </w:r>
      <w:r>
        <w:t xml:space="preserve">(62.5, DECIMAL, sec — optional). Each attribute row has up/down arrows on the left for reordering. The data type and UOM are shown inline next to the value field, and the</w:t>
      </w:r>
      <w:r>
        <w:t xml:space="preserve"> </w:t>
      </w:r>
      <w:r>
        <w:rPr>
          <w:b/>
          <w:bCs/>
        </w:rPr>
        <w:t xml:space="preserve">REQ</w:t>
      </w:r>
      <w:r>
        <w:t xml:space="preserve"> </w:t>
      </w:r>
      <w:r>
        <w:t xml:space="preserve">checkbox indicates whether the attribute is mandatory for that location kind. The engineer fills in the values for each machine as they work through the hierarchy.</w:t>
      </w:r>
    </w:p>
    <w:p>
      <w:pPr>
        <w:pStyle w:val="CaptionedFigure"/>
      </w:pPr>
      <w:r>
        <w:drawing>
          <wp:inline>
            <wp:extent cx="5334000" cy="2639102"/>
            <wp:effectExtent b="0" l="0" r="0" t="0"/>
            <wp:docPr descr="Plant Hierarchy Screen — DC Machine #7 selected, showing DieCastMachine attribute schema" title="" id="15" name="Picture"/>
            <a:graphic>
              <a:graphicData uri="http://schemas.openxmlformats.org/drawingml/2006/picture">
                <pic:pic>
                  <pic:nvPicPr>
                    <pic:cNvPr descr="docs/screenshots/screen-plant-hierarchy.png" id="16" name="Picture"/>
                    <pic:cNvPicPr>
                      <a:picLocks noChangeArrowheads="1" noChangeAspect="1"/>
                    </pic:cNvPicPr>
                  </pic:nvPicPr>
                  <pic:blipFill>
                    <a:blip r:embed="rId14"/>
                    <a:stretch>
                      <a:fillRect/>
                    </a:stretch>
                  </pic:blipFill>
                  <pic:spPr bwMode="auto">
                    <a:xfrm>
                      <a:off x="0" y="0"/>
                      <a:ext cx="5334000" cy="2639102"/>
                    </a:xfrm>
                    <a:prstGeom prst="rect">
                      <a:avLst/>
                    </a:prstGeom>
                    <a:noFill/>
                    <a:ln w="9525">
                      <a:noFill/>
                      <a:headEnd/>
                      <a:tailEnd/>
                    </a:ln>
                  </pic:spPr>
                </pic:pic>
              </a:graphicData>
            </a:graphic>
          </wp:inline>
        </w:drawing>
      </w:r>
    </w:p>
    <w:p>
      <w:pPr>
        <w:pStyle w:val="ImageCaption"/>
      </w:pPr>
      <w:r>
        <w:t xml:space="preserve">Plant Hierarchy Screen — DC Machine #7 selected, showing DieCastMachine attribute schema</w:t>
      </w:r>
    </w:p>
    <w:p>
      <w:pPr>
        <w:pStyle w:val="BodyText"/>
      </w:pPr>
      <w:r>
        <w:t xml:space="preserve">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7"/>
    <w:bookmarkStart w:id="36" w:name="defining-what-we-make"/>
    <w:p>
      <w:pPr>
        <w:pStyle w:val="Heading3"/>
      </w:pPr>
      <w:r>
        <w:t xml:space="preserve">Defining What We Make</w:t>
      </w:r>
    </w:p>
    <w:p>
      <w:pPr>
        <w:pStyle w:val="FirstParagraph"/>
      </w:pPr>
      <w:r>
        <w:t xml:space="preserve">Next, the item master. The engineer navigates to the</w:t>
      </w:r>
      <w:r>
        <w:t xml:space="preserve"> </w:t>
      </w:r>
      <w:r>
        <w:rPr>
          <w:b/>
          <w:bCs/>
        </w:rPr>
        <w:t xml:space="preserve">Parts</w:t>
      </w:r>
      <w:r>
        <w:t xml:space="preserve"> </w:t>
      </w:r>
      <w:r>
        <w:t xml:space="preserve">category in the left rail and opens the</w:t>
      </w:r>
      <w:r>
        <w:t xml:space="preserve"> </w:t>
      </w:r>
      <w:r>
        <w:rPr>
          <w:b/>
          <w:bCs/>
        </w:rPr>
        <w:t xml:space="preserve">Item Master</w:t>
      </w:r>
      <w:r>
        <w:t xml:space="preserve"> </w:t>
      </w:r>
      <w:r>
        <w:t xml:space="preserve">screen. The left panel shows a searchable, filterable list of all items — a</w:t>
      </w:r>
      <w:r>
        <w:t xml:space="preserve"> </w:t>
      </w:r>
      <w:r>
        <w:rPr>
          <w:b/>
          <w:bCs/>
        </w:rPr>
        <w:t xml:space="preserve">Search items…</w:t>
      </w:r>
      <w:r>
        <w:t xml:space="preserve"> </w:t>
      </w:r>
      <w:r>
        <w:t xml:space="preserve">bar at the top and an</w:t>
      </w:r>
      <w:r>
        <w:t xml:space="preserve"> </w:t>
      </w:r>
      <w:r>
        <w:rPr>
          <w:b/>
          <w:bCs/>
        </w:rPr>
        <w:t xml:space="preserve">All Types</w:t>
      </w:r>
      <w:r>
        <w:t xml:space="preserve"> </w:t>
      </w:r>
      <w:r>
        <w:t xml:space="preserve">dropdown to filter by item type (Finished Good, Component, Pass-Through, etc.). Each item in the list shows its part number, description, and a type badge (FG, COMP, PT).</w:t>
      </w:r>
    </w:p>
    <w:p>
      <w:pPr>
        <w:pStyle w:val="BodyText"/>
      </w:pPr>
      <w:r>
        <w:t xml:space="preserve">Clicking an item loads its detail panel on the right. The header shows the part number, name, and a status badge (e.g.,</w:t>
      </w:r>
      <w:r>
        <w:t xml:space="preserve"> </w:t>
      </w:r>
      <w:r>
        <w:rPr>
          <w:b/>
          <w:bCs/>
        </w:rPr>
        <w:t xml:space="preserve">Finished Good</w:t>
      </w:r>
      <w:r>
        <w:t xml:space="preserve">), with</w:t>
      </w:r>
      <w:r>
        <w:t xml:space="preserve"> </w:t>
      </w:r>
      <w:r>
        <w:rPr>
          <w:b/>
          <w:bCs/>
        </w:rPr>
        <w:t xml:space="preserve">Save</w:t>
      </w:r>
      <w:r>
        <w:t xml:space="preserve"> </w:t>
      </w:r>
      <w:r>
        <w:t xml:space="preserve">and</w:t>
      </w:r>
      <w:r>
        <w:t xml:space="preserve"> </w:t>
      </w:r>
      <w:r>
        <w:rPr>
          <w:b/>
          <w:bCs/>
        </w:rPr>
        <w:t xml:space="preserve">Deprecate</w:t>
      </w:r>
      <w:r>
        <w:t xml:space="preserve"> </w:t>
      </w:r>
      <w:r>
        <w:t xml:space="preserve">buttons in the top-right corner. The core fields are:</w:t>
      </w:r>
      <w:r>
        <w:t xml:space="preserve"> </w:t>
      </w:r>
      <w:r>
        <w:rPr>
          <w:b/>
          <w:bCs/>
        </w:rPr>
        <w:t xml:space="preserve">Part Number</w:t>
      </w:r>
      <w:r>
        <w:t xml:space="preserve">,</w:t>
      </w:r>
      <w:r>
        <w:t xml:space="preserve"> </w:t>
      </w:r>
      <w:r>
        <w:rPr>
          <w:b/>
          <w:bCs/>
        </w:rPr>
        <w:t xml:space="preserve">Item Type</w:t>
      </w:r>
      <w:r>
        <w:t xml:space="preserve"> </w:t>
      </w:r>
      <w:r>
        <w:t xml:space="preserve">(dropdown),</w:t>
      </w:r>
      <w:r>
        <w:t xml:space="preserve"> </w:t>
      </w:r>
      <w:r>
        <w:rPr>
          <w:b/>
          <w:bCs/>
        </w:rPr>
        <w:t xml:space="preserve">UOM</w:t>
      </w:r>
      <w:r>
        <w:t xml:space="preserve"> </w:t>
      </w:r>
      <w:r>
        <w:t xml:space="preserve">(dropdown),</w:t>
      </w:r>
      <w:r>
        <w:t xml:space="preserve"> </w:t>
      </w:r>
      <w:r>
        <w:rPr>
          <w:b/>
          <w:bCs/>
        </w:rPr>
        <w:t xml:space="preserve">Description</w:t>
      </w:r>
      <w:r>
        <w:t xml:space="preserve">,</w:t>
      </w:r>
      <w:r>
        <w:t xml:space="preserve"> </w:t>
      </w:r>
      <w:r>
        <w:rPr>
          <w:b/>
          <w:bCs/>
        </w:rPr>
        <w:t xml:space="preserve">Macola Part #</w:t>
      </w:r>
      <w:r>
        <w:t xml:space="preserve"> </w:t>
      </w:r>
      <w:r>
        <w:t xml:space="preserve">(ERP cross-reference),</w:t>
      </w:r>
      <w:r>
        <w:t xml:space="preserve"> </w:t>
      </w:r>
      <w:r>
        <w:rPr>
          <w:b/>
          <w:bCs/>
        </w:rPr>
        <w:t xml:space="preserve">Unit Weight</w:t>
      </w:r>
      <w:r>
        <w:t xml:space="preserve">,</w:t>
      </w:r>
      <w:r>
        <w:t xml:space="preserve"> </w:t>
      </w:r>
      <w:r>
        <w:rPr>
          <w:b/>
          <w:bCs/>
        </w:rPr>
        <w:t xml:space="preserve">Weight UOM</w:t>
      </w:r>
      <w:r>
        <w:t xml:space="preserve">,</w:t>
      </w:r>
      <w:r>
        <w:t xml:space="preserve"> </w:t>
      </w:r>
      <w:r>
        <w:rPr>
          <w:b/>
          <w:bCs/>
        </w:rPr>
        <w:t xml:space="preserve">Default Sub-Lot Qty</w:t>
      </w:r>
      <w:r>
        <w:t xml:space="preserve"> </w:t>
      </w:r>
      <w:r>
        <w:t xml:space="preserve">(how many pieces per sub-LOT when a parent LOT splits at machining), and</w:t>
      </w:r>
      <w:r>
        <w:t xml:space="preserve"> </w:t>
      </w:r>
      <w:r>
        <w:rPr>
          <w:b/>
          <w:bCs/>
        </w:rPr>
        <w:t xml:space="preserve">Max Lot Size</w:t>
      </w:r>
      <w:r>
        <w:t xml:space="preserve"> </w:t>
      </w:r>
      <w:r>
        <w:t xml:space="preserve">(reasonability check ceiling).</w:t>
      </w:r>
    </w:p>
    <w:p>
      <w:pPr>
        <w:pStyle w:val="BodyText"/>
      </w:pPr>
      <w:r>
        <w:t xml:space="preserve">Below the core fields, a five-tab strip gives access to all item-related configuration:</w:t>
      </w:r>
      <w:r>
        <w:t xml:space="preserve"> </w:t>
      </w:r>
      <w:r>
        <w:rPr>
          <w:b/>
          <w:bCs/>
        </w:rPr>
        <w:t xml:space="preserve">Container Config</w:t>
      </w:r>
      <w:r>
        <w:t xml:space="preserve">,</w:t>
      </w:r>
      <w:r>
        <w:t xml:space="preserve"> </w:t>
      </w:r>
      <w:r>
        <w:rPr>
          <w:b/>
          <w:bCs/>
        </w:rPr>
        <w:t xml:space="preserve">Routes</w:t>
      </w:r>
      <w:r>
        <w:t xml:space="preserve">,</w:t>
      </w:r>
      <w:r>
        <w:t xml:space="preserve"> </w:t>
      </w:r>
      <w:r>
        <w:rPr>
          <w:b/>
          <w:bCs/>
        </w:rPr>
        <w:t xml:space="preserve">BOMs</w:t>
      </w:r>
      <w:r>
        <w:t xml:space="preserve">,</w:t>
      </w:r>
      <w:r>
        <w:t xml:space="preserve"> </w:t>
      </w:r>
      <w:r>
        <w:rPr>
          <w:b/>
          <w:bCs/>
        </w:rPr>
        <w:t xml:space="preserve">Quality Specs</w:t>
      </w:r>
      <w:r>
        <w:t xml:space="preserve">, and</w:t>
      </w:r>
      <w:r>
        <w:t xml:space="preserve"> </w:t>
      </w:r>
      <w:r>
        <w:rPr>
          <w:b/>
          <w:bCs/>
        </w:rPr>
        <w:t xml:space="preserve">Eligibility</w:t>
      </w:r>
      <w:r>
        <w:t xml:space="preserve">.</w:t>
      </w:r>
    </w:p>
    <w:p>
      <w:pPr>
        <w:pStyle w:val="BodyText"/>
      </w:pPr>
      <w:r>
        <w:t xml:space="preserve">When the engineer clicks</w:t>
      </w:r>
      <w:r>
        <w:t xml:space="preserve"> </w:t>
      </w:r>
      <w:r>
        <w:rPr>
          <w:b/>
          <w:bCs/>
        </w:rPr>
        <w:t xml:space="preserve">+ Add Item</w:t>
      </w:r>
      <w:r>
        <w:t xml:space="preserve">, a modal appears organized into four sections:</w:t>
      </w:r>
      <w:r>
        <w:t xml:space="preserve"> </w:t>
      </w:r>
      <w:r>
        <w:rPr>
          <w:b/>
          <w:bCs/>
        </w:rPr>
        <w:t xml:space="preserve">Identity</w:t>
      </w:r>
      <w:r>
        <w:t xml:space="preserve"> </w:t>
      </w:r>
      <w:r>
        <w:t xml:space="preserve">(Part Number — required, Item Type dropdown — required, UOM dropdown — required),</w:t>
      </w:r>
      <w:r>
        <w:t xml:space="preserve"> </w:t>
      </w:r>
      <w:r>
        <w:rPr>
          <w:b/>
          <w:bCs/>
        </w:rPr>
        <w:t xml:space="preserve">Description</w:t>
      </w:r>
      <w:r>
        <w:t xml:space="preserve"> </w:t>
      </w:r>
      <w:r>
        <w:t xml:space="preserve">(required),</w:t>
      </w:r>
      <w:r>
        <w:t xml:space="preserve"> </w:t>
      </w:r>
      <w:r>
        <w:rPr>
          <w:b/>
          <w:bCs/>
        </w:rPr>
        <w:t xml:space="preserve">Weight</w:t>
      </w:r>
      <w:r>
        <w:t xml:space="preserve"> </w:t>
      </w:r>
      <w:r>
        <w:t xml:space="preserve">(Unit Weight and Weight UOM dropdown),</w:t>
      </w:r>
      <w:r>
        <w:t xml:space="preserve"> </w:t>
      </w:r>
      <w:r>
        <w:rPr>
          <w:b/>
          <w:bCs/>
        </w:rPr>
        <w:t xml:space="preserve">Lot Configuration</w:t>
      </w:r>
      <w:r>
        <w:t xml:space="preserve"> </w:t>
      </w:r>
      <w:r>
        <w:t xml:space="preserve">(Default Sub-Lot Qty defaulting to 24, Max Lot Size defaulting to 100), and</w:t>
      </w:r>
      <w:r>
        <w:t xml:space="preserve"> </w:t>
      </w:r>
      <w:r>
        <w:rPr>
          <w:b/>
          <w:bCs/>
        </w:rPr>
        <w:t xml:space="preserve">ERP Integration</w:t>
      </w:r>
      <w:r>
        <w:t xml:space="preserve"> </w:t>
      </w:r>
      <w:r>
        <w:t xml:space="preserve">(Macola Part # — optional, for future Macola integration). Clicking</w:t>
      </w:r>
      <w:r>
        <w:t xml:space="preserve"> </w:t>
      </w:r>
      <w:r>
        <w:rPr>
          <w:b/>
          <w:bCs/>
        </w:rPr>
        <w:t xml:space="preserve">Create Item</w:t>
      </w:r>
      <w:r>
        <w:t xml:space="preserve"> </w:t>
      </w:r>
      <w:r>
        <w:t xml:space="preserve">adds the item and opens its detail panel.</w:t>
      </w:r>
    </w:p>
    <w:p>
      <w:pPr>
        <w:pStyle w:val="CaptionedFigure"/>
      </w:pPr>
      <w:r>
        <w:drawing>
          <wp:inline>
            <wp:extent cx="5334000" cy="4161692"/>
            <wp:effectExtent b="0" l="0" r="0" t="0"/>
            <wp:docPr descr="Add Item Modal" title="" id="19" name="Picture"/>
            <a:graphic>
              <a:graphicData uri="http://schemas.openxmlformats.org/drawingml/2006/picture">
                <pic:pic>
                  <pic:nvPicPr>
                    <pic:cNvPr descr="docs/screenshots/screen-add-item-modal.png" id="20" name="Picture"/>
                    <pic:cNvPicPr>
                      <a:picLocks noChangeArrowheads="1" noChangeAspect="1"/>
                    </pic:cNvPicPr>
                  </pic:nvPicPr>
                  <pic:blipFill>
                    <a:blip r:embed="rId18"/>
                    <a:stretch>
                      <a:fillRect/>
                    </a:stretch>
                  </pic:blipFill>
                  <pic:spPr bwMode="auto">
                    <a:xfrm>
                      <a:off x="0" y="0"/>
                      <a:ext cx="5334000" cy="4161692"/>
                    </a:xfrm>
                    <a:prstGeom prst="rect">
                      <a:avLst/>
                    </a:prstGeom>
                    <a:noFill/>
                    <a:ln w="9525">
                      <a:noFill/>
                      <a:headEnd/>
                      <a:tailEnd/>
                    </a:ln>
                  </pic:spPr>
                </pic:pic>
              </a:graphicData>
            </a:graphic>
          </wp:inline>
        </w:drawing>
      </w:r>
    </w:p>
    <w:p>
      <w:pPr>
        <w:pStyle w:val="ImageCaption"/>
      </w:pPr>
      <w:r>
        <w:t xml:space="preserve">Add Item Modal</w:t>
      </w:r>
    </w:p>
    <w:p>
      <w:pPr>
        <w:pStyle w:val="BodyText"/>
      </w:pPr>
      <w:r>
        <w:t xml:space="preserve">The</w:t>
      </w:r>
      <w:r>
        <w:t xml:space="preserve"> </w:t>
      </w:r>
      <w:r>
        <w:rPr>
          <w:b/>
          <w:bCs/>
        </w:rPr>
        <w:t xml:space="preserve">Container Config</w:t>
      </w:r>
      <w:r>
        <w:t xml:space="preserve"> </w:t>
      </w:r>
      <w:r>
        <w:t xml:space="preserve">tab defines Honda packing rules for finished goods. For the 5G0 Front Cover Assembly:</w:t>
      </w:r>
      <w:r>
        <w:t xml:space="preserve"> </w:t>
      </w:r>
      <w:r>
        <w:rPr>
          <w:b/>
          <w:bCs/>
        </w:rPr>
        <w:t xml:space="preserve">Trays Per Container</w:t>
      </w:r>
      <w:r>
        <w:t xml:space="preserve"> </w:t>
      </w:r>
      <w:r>
        <w:t xml:space="preserve">= 4,</w:t>
      </w:r>
      <w:r>
        <w:t xml:space="preserve"> </w:t>
      </w:r>
      <w:r>
        <w:rPr>
          <w:b/>
          <w:bCs/>
        </w:rPr>
        <w:t xml:space="preserve">Parts Per Tray</w:t>
      </w:r>
      <w:r>
        <w:t xml:space="preserve"> </w:t>
      </w:r>
      <w:r>
        <w:t xml:space="preserve">= 12,</w:t>
      </w:r>
      <w:r>
        <w:t xml:space="preserve"> </w:t>
      </w:r>
      <w:r>
        <w:rPr>
          <w:b/>
          <w:bCs/>
        </w:rPr>
        <w:t xml:space="preserve">Serialized</w:t>
      </w:r>
      <w:r>
        <w:t xml:space="preserve"> </w:t>
      </w:r>
      <w:r>
        <w:t xml:space="preserve">= Yes,</w:t>
      </w:r>
      <w:r>
        <w:t xml:space="preserve"> </w:t>
      </w:r>
      <w:r>
        <w:rPr>
          <w:b/>
          <w:bCs/>
        </w:rPr>
        <w:t xml:space="preserve">Dunnage Code</w:t>
      </w:r>
      <w:r>
        <w:t xml:space="preserve"> </w:t>
      </w:r>
      <w:r>
        <w:t xml:space="preserve">= RD-5G0F,</w:t>
      </w:r>
      <w:r>
        <w:t xml:space="preserve"> </w:t>
      </w:r>
      <w:r>
        <w:rPr>
          <w:b/>
          <w:bCs/>
        </w:rPr>
        <w:t xml:space="preserve">Customer Code</w:t>
      </w:r>
      <w:r>
        <w:t xml:space="preserve"> </w:t>
      </w:r>
      <w:r>
        <w:t xml:space="preserve">= HONDA-5G0. These values drive the container lifecycle on the floor — the MES knows exactly when a container is full and what label to print.</w:t>
      </w:r>
    </w:p>
    <w:p>
      <w:pPr>
        <w:pStyle w:val="CaptionedFigure"/>
      </w:pPr>
      <w:r>
        <w:drawing>
          <wp:inline>
            <wp:extent cx="5334000" cy="2639131"/>
            <wp:effectExtent b="0" l="0" r="0" t="0"/>
            <wp:docPr descr="Item Master Screen — 5G0 Front Cover Assembly, Container Config tab" title="" id="22" name="Picture"/>
            <a:graphic>
              <a:graphicData uri="http://schemas.openxmlformats.org/drawingml/2006/picture">
                <pic:pic>
                  <pic:nvPicPr>
                    <pic:cNvPr descr="docs/screenshots/screen-item-master.png" id="23" name="Picture"/>
                    <pic:cNvPicPr>
                      <a:picLocks noChangeArrowheads="1" noChangeAspect="1"/>
                    </pic:cNvPicPr>
                  </pic:nvPicPr>
                  <pic:blipFill>
                    <a:blip r:embed="rId21"/>
                    <a:stretch>
                      <a:fillRect/>
                    </a:stretch>
                  </pic:blipFill>
                  <pic:spPr bwMode="auto">
                    <a:xfrm>
                      <a:off x="0" y="0"/>
                      <a:ext cx="5334000" cy="2639131"/>
                    </a:xfrm>
                    <a:prstGeom prst="rect">
                      <a:avLst/>
                    </a:prstGeom>
                    <a:noFill/>
                    <a:ln w="9525">
                      <a:noFill/>
                      <a:headEnd/>
                      <a:tailEnd/>
                    </a:ln>
                  </pic:spPr>
                </pic:pic>
              </a:graphicData>
            </a:graphic>
          </wp:inline>
        </w:drawing>
      </w:r>
    </w:p>
    <w:p>
      <w:pPr>
        <w:pStyle w:val="ImageCaption"/>
      </w:pPr>
      <w:r>
        <w:t xml:space="preserve">Item Master Screen — 5G0 Front Cover Assembly, Container Config tab</w:t>
      </w:r>
    </w:p>
    <w:p>
      <w:pPr>
        <w:pStyle w:val="BodyText"/>
      </w:pPr>
      <w:r>
        <w:t xml:space="preserve">The</w:t>
      </w:r>
      <w:r>
        <w:t xml:space="preserve"> </w:t>
      </w:r>
      <w:r>
        <w:rPr>
          <w:b/>
          <w:bCs/>
        </w:rPr>
        <w:t xml:space="preserve">Routes tab</w:t>
      </w:r>
      <w:r>
        <w:t xml:space="preserve"> </w:t>
      </w:r>
      <w:r>
        <w:t xml:space="preserve">shows the active route version for the item. A version dropdown (e.g.,</w:t>
      </w:r>
      <w:r>
        <w:t xml:space="preserve"> </w:t>
      </w:r>
      <w:r>
        <w:t xml:space="preserve">“v2 — Effective 2026-01-15”</w:t>
      </w:r>
      <w:r>
        <w:t xml:space="preserve">) displays the current version alongside its lifecycle badge (</w:t>
      </w:r>
      <w:r>
        <w:rPr>
          <w:b/>
          <w:bCs/>
        </w:rPr>
        <w:t xml:space="preserve">Published</w:t>
      </w:r>
      <w:r>
        <w:t xml:space="preserve">,</w:t>
      </w:r>
      <w:r>
        <w:t xml:space="preserve"> </w:t>
      </w:r>
      <w:r>
        <w:rPr>
          <w:b/>
          <w:bCs/>
        </w:rPr>
        <w:t xml:space="preserve">Draft</w:t>
      </w:r>
      <w:r>
        <w:t xml:space="preserve">, or</w:t>
      </w:r>
      <w:r>
        <w:t xml:space="preserve"> </w:t>
      </w:r>
      <w:r>
        <w:rPr>
          <w:b/>
          <w:bCs/>
        </w:rPr>
        <w:t xml:space="preserve">Deprecated</w:t>
      </w:r>
      <w:r>
        <w:t xml:space="preserve">). A</w:t>
      </w:r>
      <w:r>
        <w:t xml:space="preserve"> </w:t>
      </w:r>
      <w:r>
        <w:rPr>
          <w:b/>
          <w:bCs/>
        </w:rPr>
        <w:t xml:space="preserve">New Version</w:t>
      </w:r>
      <w:r>
        <w:t xml:space="preserve"> </w:t>
      </w:r>
      <w:r>
        <w:t xml:space="preserve">button clones the published route into a new draft for editing. The route steps table shows: step number,</w:t>
      </w:r>
      <w:r>
        <w:t xml:space="preserve"> </w:t>
      </w:r>
      <w:r>
        <w:rPr>
          <w:b/>
          <w:bCs/>
        </w:rPr>
        <w:t xml:space="preserve">Step Name</w:t>
      </w:r>
      <w:r>
        <w:t xml:space="preserve">,</w:t>
      </w:r>
      <w:r>
        <w:t xml:space="preserve"> </w:t>
      </w:r>
      <w:r>
        <w:rPr>
          <w:b/>
          <w:bCs/>
        </w:rPr>
        <w:t xml:space="preserve">Area</w:t>
      </w:r>
      <w:r>
        <w:t xml:space="preserve">, and</w:t>
      </w:r>
      <w:r>
        <w:t xml:space="preserve"> </w:t>
      </w:r>
      <w:r>
        <w:rPr>
          <w:b/>
          <w:bCs/>
        </w:rPr>
        <w:t xml:space="preserve">Data Collection</w:t>
      </w:r>
      <w:r>
        <w:t xml:space="preserve"> </w:t>
      </w:r>
      <w:r>
        <w:t xml:space="preserve">— a summary of what data fields are collected at each step. For the 5G0, the published v2 route has 5 steps: Die Cast (Die Cast area — Die, Cavity, Weight, Good, Bad), Trim (Trim Shop — Weight, Good, Bad), CNC Machining (Machine Shop — Good, Bad), Assembly Front (Die Cast — Serial, Material Verify, Good, Bad), and Pack &amp; Ship (Prod Control — Good). A footer note reminds the user that published routes are read-only.</w:t>
      </w:r>
    </w:p>
    <w:p>
      <w:pPr>
        <w:pStyle w:val="CaptionedFigure"/>
      </w:pPr>
      <w:r>
        <w:drawing>
          <wp:inline>
            <wp:extent cx="5334000" cy="1868765"/>
            <wp:effectExtent b="0" l="0" r="0" t="0"/>
            <wp:docPr descr="Item Routes Tab — 5G0 v2 Published Route" title="" id="25" name="Picture"/>
            <a:graphic>
              <a:graphicData uri="http://schemas.openxmlformats.org/drawingml/2006/picture">
                <pic:pic>
                  <pic:nvPicPr>
                    <pic:cNvPr descr="docs/screenshots/screen-item-routes-tab.png" id="26" name="Picture"/>
                    <pic:cNvPicPr>
                      <a:picLocks noChangeArrowheads="1" noChangeAspect="1"/>
                    </pic:cNvPicPr>
                  </pic:nvPicPr>
                  <pic:blipFill>
                    <a:blip r:embed="rId24"/>
                    <a:stretch>
                      <a:fillRect/>
                    </a:stretch>
                  </pic:blipFill>
                  <pic:spPr bwMode="auto">
                    <a:xfrm>
                      <a:off x="0" y="0"/>
                      <a:ext cx="5334000" cy="1868765"/>
                    </a:xfrm>
                    <a:prstGeom prst="rect">
                      <a:avLst/>
                    </a:prstGeom>
                    <a:noFill/>
                    <a:ln w="9525">
                      <a:noFill/>
                      <a:headEnd/>
                      <a:tailEnd/>
                    </a:ln>
                  </pic:spPr>
                </pic:pic>
              </a:graphicData>
            </a:graphic>
          </wp:inline>
        </w:drawing>
      </w:r>
    </w:p>
    <w:p>
      <w:pPr>
        <w:pStyle w:val="ImageCaption"/>
      </w:pPr>
      <w:r>
        <w:t xml:space="preserve">Item Routes Tab — 5G0 v2 Published Route</w:t>
      </w:r>
    </w:p>
    <w:p>
      <w:pPr>
        <w:pStyle w:val="BodyText"/>
      </w:pPr>
      <w:r>
        <w:t xml:space="preserve">The</w:t>
      </w:r>
      <w:r>
        <w:t xml:space="preserve"> </w:t>
      </w:r>
      <w:r>
        <w:rPr>
          <w:b/>
          <w:bCs/>
        </w:rPr>
        <w:t xml:space="preserve">BOMs tab</w:t>
      </w:r>
      <w:r>
        <w:t xml:space="preserve"> </w:t>
      </w:r>
      <w:r>
        <w:t xml:space="preserve">follows the same versioned pattern. The 5G0’s v1 Published BOM shows two components in sequence order: Front Cover Casting (5G0-C, qty 1 EA) and Mounting Pin (PNA, qty 2 EA). Published BOMs are read-only;</w:t>
      </w:r>
      <w:r>
        <w:t xml:space="preserve"> </w:t>
      </w:r>
      <w:r>
        <w:rPr>
          <w:b/>
          <w:bCs/>
        </w:rPr>
        <w:t xml:space="preserve">New Version</w:t>
      </w:r>
      <w:r>
        <w:t xml:space="preserve"> </w:t>
      </w:r>
      <w:r>
        <w:t xml:space="preserve">clones into a draft for editing.</w:t>
      </w:r>
    </w:p>
    <w:p>
      <w:pPr>
        <w:pStyle w:val="CaptionedFigure"/>
      </w:pPr>
      <w:r>
        <w:drawing>
          <wp:inline>
            <wp:extent cx="5334000" cy="2321243"/>
            <wp:effectExtent b="0" l="0" r="0" t="0"/>
            <wp:docPr descr="Item BOMs Tab — 5G0 v1 Published BOM" title="" id="28" name="Picture"/>
            <a:graphic>
              <a:graphicData uri="http://schemas.openxmlformats.org/drawingml/2006/picture">
                <pic:pic>
                  <pic:nvPicPr>
                    <pic:cNvPr descr="docs/screenshots/screen-item-boms-tab.png" id="29" name="Picture"/>
                    <pic:cNvPicPr>
                      <a:picLocks noChangeArrowheads="1" noChangeAspect="1"/>
                    </pic:cNvPicPr>
                  </pic:nvPicPr>
                  <pic:blipFill>
                    <a:blip r:embed="rId27"/>
                    <a:stretch>
                      <a:fillRect/>
                    </a:stretch>
                  </pic:blipFill>
                  <pic:spPr bwMode="auto">
                    <a:xfrm>
                      <a:off x="0" y="0"/>
                      <a:ext cx="5334000" cy="2321243"/>
                    </a:xfrm>
                    <a:prstGeom prst="rect">
                      <a:avLst/>
                    </a:prstGeom>
                    <a:noFill/>
                    <a:ln w="9525">
                      <a:noFill/>
                      <a:headEnd/>
                      <a:tailEnd/>
                    </a:ln>
                  </pic:spPr>
                </pic:pic>
              </a:graphicData>
            </a:graphic>
          </wp:inline>
        </w:drawing>
      </w:r>
    </w:p>
    <w:p>
      <w:pPr>
        <w:pStyle w:val="ImageCaption"/>
      </w:pPr>
      <w:r>
        <w:t xml:space="preserve">Item BOMs Tab — 5G0 v1 Published BOM</w:t>
      </w:r>
    </w:p>
    <w:p>
      <w:pPr>
        <w:pStyle w:val="BodyText"/>
      </w:pPr>
      <w:r>
        <w:t xml:space="preserve">The</w:t>
      </w:r>
      <w:r>
        <w:t xml:space="preserve"> </w:t>
      </w:r>
      <w:r>
        <w:rPr>
          <w:b/>
          <w:bCs/>
        </w:rPr>
        <w:t xml:space="preserve">Quality Specs tab</w:t>
      </w:r>
      <w:r>
        <w:t xml:space="preserve"> </w:t>
      </w:r>
      <w:r>
        <w:t xml:space="preserve">shows all quality specs linked to this item. Rather than editing specs inline, it displays a summary table —</w:t>
      </w:r>
      <w:r>
        <w:t xml:space="preserve"> </w:t>
      </w:r>
      <w:r>
        <w:rPr>
          <w:b/>
          <w:bCs/>
        </w:rPr>
        <w:t xml:space="preserve">Spec Name</w:t>
      </w:r>
      <w:r>
        <w:t xml:space="preserve">,</w:t>
      </w:r>
      <w:r>
        <w:t xml:space="preserve"> </w:t>
      </w:r>
      <w:r>
        <w:rPr>
          <w:b/>
          <w:bCs/>
        </w:rPr>
        <w:t xml:space="preserve">Active Version</w:t>
      </w:r>
      <w:r>
        <w:t xml:space="preserve">,</w:t>
      </w:r>
      <w:r>
        <w:t xml:space="preserve"> </w:t>
      </w:r>
      <w:r>
        <w:rPr>
          <w:b/>
          <w:bCs/>
        </w:rPr>
        <w:t xml:space="preserve">Status</w:t>
      </w:r>
      <w:r>
        <w:t xml:space="preserve"> </w:t>
      </w:r>
      <w:r>
        <w:t xml:space="preserve">— with a</w:t>
      </w:r>
      <w:r>
        <w:t xml:space="preserve"> </w:t>
      </w:r>
      <w:r>
        <w:rPr>
          <w:b/>
          <w:bCs/>
        </w:rPr>
        <w:t xml:space="preserve">Go to spec →</w:t>
      </w:r>
      <w:r>
        <w:t xml:space="preserve"> </w:t>
      </w:r>
      <w:r>
        <w:t xml:space="preserve">button that navigates directly to the full spec in the Quality Specs library. The 5G0 has two linked specs: 5G0 Dimensional Spec (v2, Published) and 5G0 Visual Inspection (v1, Published).</w:t>
      </w:r>
    </w:p>
    <w:p>
      <w:pPr>
        <w:pStyle w:val="CaptionedFigure"/>
      </w:pPr>
      <w:r>
        <w:drawing>
          <wp:inline>
            <wp:extent cx="5334000" cy="2321902"/>
            <wp:effectExtent b="0" l="0" r="0" t="0"/>
            <wp:docPr descr="Item Quality Specs Tab — Linked specs for 5G0 Front Cover" title="" id="31" name="Picture"/>
            <a:graphic>
              <a:graphicData uri="http://schemas.openxmlformats.org/drawingml/2006/picture">
                <pic:pic>
                  <pic:nvPicPr>
                    <pic:cNvPr descr="docs/screenshots/screen-item-quality-specs-tab.png" id="32" name="Picture"/>
                    <pic:cNvPicPr>
                      <a:picLocks noChangeArrowheads="1" noChangeAspect="1"/>
                    </pic:cNvPicPr>
                  </pic:nvPicPr>
                  <pic:blipFill>
                    <a:blip r:embed="rId30"/>
                    <a:stretch>
                      <a:fillRect/>
                    </a:stretch>
                  </pic:blipFill>
                  <pic:spPr bwMode="auto">
                    <a:xfrm>
                      <a:off x="0" y="0"/>
                      <a:ext cx="5334000" cy="2321902"/>
                    </a:xfrm>
                    <a:prstGeom prst="rect">
                      <a:avLst/>
                    </a:prstGeom>
                    <a:noFill/>
                    <a:ln w="9525">
                      <a:noFill/>
                      <a:headEnd/>
                      <a:tailEnd/>
                    </a:ln>
                  </pic:spPr>
                </pic:pic>
              </a:graphicData>
            </a:graphic>
          </wp:inline>
        </w:drawing>
      </w:r>
    </w:p>
    <w:p>
      <w:pPr>
        <w:pStyle w:val="ImageCaption"/>
      </w:pPr>
      <w:r>
        <w:t xml:space="preserve">Item Quality Specs Tab — Linked specs for 5G0 Front Cover</w:t>
      </w:r>
    </w:p>
    <w:p>
      <w:pPr>
        <w:pStyle w:val="BodyText"/>
      </w:pPr>
      <w:r>
        <w:t xml:space="preserve">The</w:t>
      </w:r>
      <w:r>
        <w:t xml:space="preserve"> </w:t>
      </w:r>
      <w:r>
        <w:rPr>
          <w:b/>
          <w:bCs/>
        </w:rPr>
        <w:t xml:space="preserve">Eligibility tab</w:t>
      </w:r>
      <w:r>
        <w:t xml:space="preserve"> </w:t>
      </w:r>
      <w:r>
        <w:t xml:space="preserve">defines which machines can run this part. An</w:t>
      </w:r>
      <w:r>
        <w:t xml:space="preserve"> </w:t>
      </w:r>
      <w:r>
        <w:rPr>
          <w:b/>
          <w:bCs/>
        </w:rPr>
        <w:t xml:space="preserve">Area</w:t>
      </w:r>
      <w:r>
        <w:t xml:space="preserve"> </w:t>
      </w:r>
      <w:r>
        <w:t xml:space="preserve">dropdown filters the view by area. For the 5G0 in the Die Cast area, the table shows all four Die Cast machines with their codes and tonnage, and an</w:t>
      </w:r>
      <w:r>
        <w:t xml:space="preserve"> </w:t>
      </w:r>
      <w:r>
        <w:rPr>
          <w:b/>
          <w:bCs/>
        </w:rPr>
        <w:t xml:space="preserve">Eligible</w:t>
      </w:r>
      <w:r>
        <w:t xml:space="preserve"> </w:t>
      </w:r>
      <w:r>
        <w:t xml:space="preserve">checkbox for each. DC Machine #3 (400t), #7 (400t), and #12 (400t) are checked; DC Machine #15 (250t) is unchecked — the 5G0 requires 400-ton capacity.</w:t>
      </w:r>
    </w:p>
    <w:p>
      <w:pPr>
        <w:pStyle w:val="CaptionedFigure"/>
      </w:pPr>
      <w:r>
        <w:drawing>
          <wp:inline>
            <wp:extent cx="5334000" cy="2333625"/>
            <wp:effectExtent b="0" l="0" r="0" t="0"/>
            <wp:docPr descr="Item Eligibility Tab — Machine eligibility for 5G0 in Die Cast area" title="" id="34" name="Picture"/>
            <a:graphic>
              <a:graphicData uri="http://schemas.openxmlformats.org/drawingml/2006/picture">
                <pic:pic>
                  <pic:nvPicPr>
                    <pic:cNvPr descr="docs/screenshots/screen-item-eligibility-tab.png" id="35" name="Picture"/>
                    <pic:cNvPicPr>
                      <a:picLocks noChangeArrowheads="1" noChangeAspect="1"/>
                    </pic:cNvPicPr>
                  </pic:nvPicPr>
                  <pic:blipFill>
                    <a:blip r:embed="rId3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Item Eligibility Tab — Machine eligibility for 5G0 in Die Cast area</w:t>
      </w:r>
    </w:p>
    <w:bookmarkEnd w:id="36"/>
    <w:bookmarkStart w:id="40" w:name="defining-how-we-make-it"/>
    <w:p>
      <w:pPr>
        <w:pStyle w:val="Heading3"/>
      </w:pPr>
      <w:r>
        <w:t xml:space="preserve">Defining How We Make It</w:t>
      </w:r>
    </w:p>
    <w:p>
      <w:pPr>
        <w:pStyle w:val="FirstParagraph"/>
      </w:pPr>
      <w:r>
        <w:t xml:space="preserve">Before routes can be assigned to items, the engineer needs to define the</w:t>
      </w:r>
      <w:r>
        <w:t xml:space="preserve"> </w:t>
      </w:r>
      <w:r>
        <w:rPr>
          <w:b/>
          <w:bCs/>
        </w:rPr>
        <w:t xml:space="preserve">Operation Templates</w:t>
      </w:r>
      <w:r>
        <w:t xml:space="preserve"> </w:t>
      </w:r>
      <w:r>
        <w:t xml:space="preserve">— the reusable data collection profiles that describe what each type of operation requires. The engineer navigates to</w:t>
      </w:r>
      <w:r>
        <w:t xml:space="preserve"> </w:t>
      </w:r>
      <w:r>
        <w:rPr>
          <w:b/>
          <w:bCs/>
        </w:rPr>
        <w:t xml:space="preserve">Parts › Operation Templates</w:t>
      </w:r>
      <w:r>
        <w:t xml:space="preserve">. The left panel groups templates by area: Die Cast, Trim Shop, Machine Shop, Assembly. Each template in the list shows its name and version badge. Clicking a template loads its detail on the right:</w:t>
      </w:r>
      <w:r>
        <w:t xml:space="preserve"> </w:t>
      </w:r>
      <w:r>
        <w:rPr>
          <w:b/>
          <w:bCs/>
        </w:rPr>
        <w:t xml:space="preserve">Code</w:t>
      </w:r>
      <w:r>
        <w:t xml:space="preserve"> </w:t>
      </w:r>
      <w:r>
        <w:t xml:space="preserve">(e.g., DIE-CAST),</w:t>
      </w:r>
      <w:r>
        <w:t xml:space="preserve"> </w:t>
      </w:r>
      <w:r>
        <w:rPr>
          <w:b/>
          <w:bCs/>
        </w:rPr>
        <w:t xml:space="preserve">Name</w:t>
      </w:r>
      <w:r>
        <w:t xml:space="preserve"> </w:t>
      </w:r>
      <w:r>
        <w:t xml:space="preserve">(Die Cast Operation),</w:t>
      </w:r>
      <w:r>
        <w:t xml:space="preserve"> </w:t>
      </w:r>
      <w:r>
        <w:rPr>
          <w:b/>
          <w:bCs/>
        </w:rPr>
        <w:t xml:space="preserve">Area</w:t>
      </w:r>
      <w:r>
        <w:t xml:space="preserve"> </w:t>
      </w:r>
      <w:r>
        <w:t xml:space="preserve">(Die Cast dropdown), and</w:t>
      </w:r>
      <w:r>
        <w:t xml:space="preserve"> </w:t>
      </w:r>
      <w:r>
        <w:rPr>
          <w:b/>
          <w:bCs/>
        </w:rPr>
        <w:t xml:space="preserve">Description</w:t>
      </w:r>
      <w:r>
        <w:t xml:space="preserve"> </w:t>
      </w:r>
      <w:r>
        <w:t xml:space="preserve">(free-text summary, e.g.,</w:t>
      </w:r>
      <w:r>
        <w:t xml:space="preserve"> </w:t>
      </w:r>
      <w:r>
        <w:t xml:space="preserve">“Primary die cast operation with die, cavity, weight, and count collection.”</w:t>
      </w:r>
      <w:r>
        <w:t xml:space="preserve">). Below, the</w:t>
      </w:r>
      <w:r>
        <w:t xml:space="preserve"> </w:t>
      </w:r>
      <w:r>
        <w:rPr>
          <w:b/>
          <w:bCs/>
        </w:rPr>
        <w:t xml:space="preserve">Data Collection Fields</w:t>
      </w:r>
      <w:r>
        <w:t xml:space="preserve"> </w:t>
      </w:r>
      <w:r>
        <w:t xml:space="preserve">table lists every field the operation captures — columns are</w:t>
      </w:r>
      <w:r>
        <w:t xml:space="preserve"> </w:t>
      </w:r>
      <w:r>
        <w:rPr>
          <w:b/>
          <w:bCs/>
        </w:rPr>
        <w:t xml:space="preserve">Field</w:t>
      </w:r>
      <w:r>
        <w:t xml:space="preserve"> </w:t>
      </w:r>
      <w:r>
        <w:t xml:space="preserve">and</w:t>
      </w:r>
      <w:r>
        <w:t xml:space="preserve"> </w:t>
      </w:r>
      <w:r>
        <w:rPr>
          <w:b/>
          <w:bCs/>
        </w:rPr>
        <w:t xml:space="preserve">Required</w:t>
      </w:r>
      <w:r>
        <w:t xml:space="preserve">. For Die Cast Operation v2, five fields are configured: CollectsDieInfo ✓, CollectsCavityInfo ✓, CollectsWeight ✓, CollectsGoodCount ✓, CollectsBadCount □ (not required in this version). Each field row has up/down arrows for reordering and a</w:t>
      </w:r>
      <w:r>
        <w:t xml:space="preserve"> </w:t>
      </w:r>
      <w:r>
        <w:rPr>
          <w:b/>
          <w:bCs/>
        </w:rPr>
        <w:t xml:space="preserve">Remove</w:t>
      </w:r>
      <w:r>
        <w:t xml:space="preserve"> </w:t>
      </w:r>
      <w:r>
        <w:t xml:space="preserve">button; the</w:t>
      </w:r>
      <w:r>
        <w:t xml:space="preserve"> </w:t>
      </w:r>
      <w:r>
        <w:rPr>
          <w:b/>
          <w:bCs/>
        </w:rPr>
        <w:t xml:space="preserve">+ Add Field</w:t>
      </w:r>
      <w:r>
        <w:t xml:space="preserve"> </w:t>
      </w:r>
      <w:r>
        <w:t xml:space="preserve">button in the top right of the table adds a new field to the template. A</w:t>
      </w:r>
      <w:r>
        <w:t xml:space="preserve"> </w:t>
      </w:r>
      <w:r>
        <w:rPr>
          <w:b/>
          <w:bCs/>
        </w:rPr>
        <w:t xml:space="preserve">New Version</w:t>
      </w:r>
      <w:r>
        <w:t xml:space="preserve"> </w:t>
      </w:r>
      <w:r>
        <w:t xml:space="preserve">button clones the published template into a draft for editing — published templates are read-only.</w:t>
      </w:r>
    </w:p>
    <w:p>
      <w:pPr>
        <w:pStyle w:val="CaptionedFigure"/>
      </w:pPr>
      <w:r>
        <w:drawing>
          <wp:inline>
            <wp:extent cx="5334000" cy="2647492"/>
            <wp:effectExtent b="0" l="0" r="0" t="0"/>
            <wp:docPr descr="Operation Templates Screen — Die Cast Operation v2 with Data Collection Fields" title="" id="38" name="Picture"/>
            <a:graphic>
              <a:graphicData uri="http://schemas.openxmlformats.org/drawingml/2006/picture">
                <pic:pic>
                  <pic:nvPicPr>
                    <pic:cNvPr descr="docs/screenshots/screen-operation-templates.png" id="39" name="Picture"/>
                    <pic:cNvPicPr>
                      <a:picLocks noChangeArrowheads="1" noChangeAspect="1"/>
                    </pic:cNvPicPr>
                  </pic:nvPicPr>
                  <pic:blipFill>
                    <a:blip r:embed="rId37"/>
                    <a:stretch>
                      <a:fillRect/>
                    </a:stretch>
                  </pic:blipFill>
                  <pic:spPr bwMode="auto">
                    <a:xfrm>
                      <a:off x="0" y="0"/>
                      <a:ext cx="5334000" cy="2647492"/>
                    </a:xfrm>
                    <a:prstGeom prst="rect">
                      <a:avLst/>
                    </a:prstGeom>
                    <a:noFill/>
                    <a:ln w="9525">
                      <a:noFill/>
                      <a:headEnd/>
                      <a:tailEnd/>
                    </a:ln>
                  </pic:spPr>
                </pic:pic>
              </a:graphicData>
            </a:graphic>
          </wp:inline>
        </w:drawing>
      </w:r>
    </w:p>
    <w:p>
      <w:pPr>
        <w:pStyle w:val="ImageCaption"/>
      </w:pPr>
      <w:r>
        <w:t xml:space="preserve">Operation Templates Screen — Die Cast Operation v2 with Data Collection Fields</w:t>
      </w:r>
    </w:p>
    <w:p>
      <w:pPr>
        <w:pStyle w:val="BodyText"/>
      </w:pPr>
      <w:r>
        <w:t xml:space="preserve">Routes, BOMs, quality specs, and machine eligibility are all managed directly from the Item Master’s tab strip — the engineer never needs to leave the item record to configure the full production picture for a part.</w:t>
      </w:r>
    </w:p>
    <w:p>
      <w:pPr>
        <w:pStyle w:val="BodyText"/>
      </w:pPr>
      <w:r>
        <w:t xml:space="preserve">Routes define the ordered sequence of operations an item passes through. The 5G0’s published v2 route has five steps — Die Cast → Trim → CNC Machining → Assembly Front → Pack &amp; Ship — each mapped to an area and a data collection profile. The data collection profile is driven by the operation template at that step: Die Cast collects die info, cavity, weight, good count, and bad count; Assembly Front collects serial number, material verification, good count, and bad count. These profiles drive the shop floor UI — the screen at an assembly station looks different from the one at a die cast press because the step’s data collection tells it what fields to show.</w:t>
      </w:r>
    </w:p>
    <w:p>
      <w:pPr>
        <w:pStyle w:val="BodyText"/>
      </w:pPr>
      <w:r>
        <w:t xml:space="preserve">Machine eligibility is managed on the</w:t>
      </w:r>
      <w:r>
        <w:t xml:space="preserve"> </w:t>
      </w:r>
      <w:r>
        <w:rPr>
          <w:b/>
          <w:bCs/>
        </w:rPr>
        <w:t xml:space="preserve">Eligibility</w:t>
      </w:r>
      <w:r>
        <w:t xml:space="preserve"> </w:t>
      </w:r>
      <w:r>
        <w:t xml:space="preserve">tab. The engineer selects an area from the dropdown and sees every machine in that area with its code, tonnage, and an</w:t>
      </w:r>
      <w:r>
        <w:t xml:space="preserve"> </w:t>
      </w:r>
      <w:r>
        <w:rPr>
          <w:b/>
          <w:bCs/>
        </w:rPr>
        <w:t xml:space="preserve">Eligible</w:t>
      </w:r>
      <w:r>
        <w:t xml:space="preserve"> </w:t>
      </w:r>
      <w:r>
        <w:t xml:space="preserve">checkbox. The 5G0 needs a 400-ton press — machines #3, #7, and #12 are checked; machine #15 (250 tons) is not. This is what lets the MES validate that when an operator starts producing 5G0 parts on machine #7, that’s a legal combination.</w:t>
      </w:r>
    </w:p>
    <w:p>
      <w:pPr>
        <w:pStyle w:val="BodyText"/>
      </w:pPr>
      <w:r>
        <w:t xml:space="preserve">BOMs are versioned and authored on the</w:t>
      </w:r>
      <w:r>
        <w:t xml:space="preserve"> </w:t>
      </w:r>
      <w:r>
        <w:rPr>
          <w:b/>
          <w:bCs/>
        </w:rPr>
        <w:t xml:space="preserve">BOMs</w:t>
      </w:r>
      <w:r>
        <w:t xml:space="preserve"> </w:t>
      </w:r>
      <w:r>
        <w:t xml:space="preserve">tab. The 5G0’s v1 BOM requires one Front Cover Casting (5G0-C) and two Mounting Pins (PNA). Version 1 is effective from January 2026. If engineering changes the design in March, they click</w:t>
      </w:r>
      <w:r>
        <w:t xml:space="preserve"> </w:t>
      </w:r>
      <w:r>
        <w:rPr>
          <w:b/>
          <w:bCs/>
        </w:rPr>
        <w:t xml:space="preserve">New Version</w:t>
      </w:r>
      <w:r>
        <w:t xml:space="preserve"> </w:t>
      </w:r>
      <w:r>
        <w:t xml:space="preserve">to clone the BOM into a new draft — but every production record from January still references v1, preserving historical accuracy.</w:t>
      </w:r>
    </w:p>
    <w:bookmarkEnd w:id="40"/>
    <w:bookmarkStart w:id="47" w:name="defining-quality-standards"/>
    <w:p>
      <w:pPr>
        <w:pStyle w:val="Heading3"/>
      </w:pPr>
      <w:r>
        <w:t xml:space="preserve">Defining Quality Standards</w:t>
      </w:r>
    </w:p>
    <w:p>
      <w:pPr>
        <w:pStyle w:val="FirstParagraph"/>
      </w:pPr>
      <w:r>
        <w:t xml:space="preserve">Quality specs are managed in the</w:t>
      </w:r>
      <w:r>
        <w:t xml:space="preserve"> </w:t>
      </w:r>
      <w:r>
        <w:rPr>
          <w:b/>
          <w:bCs/>
        </w:rPr>
        <w:t xml:space="preserve">Quality › Quality Specs</w:t>
      </w:r>
      <w:r>
        <w:t xml:space="preserve"> </w:t>
      </w:r>
      <w:r>
        <w:t xml:space="preserve">screen. The left panel has an item filter dropdown (e.g., 5G0 Front Cover) and lists all specs for that item — each showing its name, lifecycle status badge (Published, Draft), and version number. A separate spec can be in Draft for the same item while the prior version remains Published; the floor uses the Published version until the new one is explicitly published. Clicking a spec loads its full definition on the right:</w:t>
      </w:r>
      <w:r>
        <w:t xml:space="preserve"> </w:t>
      </w:r>
      <w:r>
        <w:rPr>
          <w:b/>
          <w:bCs/>
        </w:rPr>
        <w:t xml:space="preserve">Linked Item</w:t>
      </w:r>
      <w:r>
        <w:t xml:space="preserve">,</w:t>
      </w:r>
      <w:r>
        <w:t xml:space="preserve"> </w:t>
      </w:r>
      <w:r>
        <w:rPr>
          <w:b/>
          <w:bCs/>
        </w:rPr>
        <w:t xml:space="preserve">Linked Operation</w:t>
      </w:r>
      <w:r>
        <w:t xml:space="preserve"> </w:t>
      </w:r>
      <w:r>
        <w:t xml:space="preserve">(e.g., CNC Machining), the effective date, and the version/status. The</w:t>
      </w:r>
      <w:r>
        <w:t xml:space="preserve"> </w:t>
      </w:r>
      <w:r>
        <w:rPr>
          <w:b/>
          <w:bCs/>
        </w:rPr>
        <w:t xml:space="preserve">Attributes</w:t>
      </w:r>
      <w:r>
        <w:t xml:space="preserve"> </w:t>
      </w:r>
      <w:r>
        <w:t xml:space="preserve">tab shows a table of every measurement in the spec with columns for</w:t>
      </w:r>
      <w:r>
        <w:t xml:space="preserve"> </w:t>
      </w:r>
      <w:r>
        <w:rPr>
          <w:b/>
          <w:bCs/>
        </w:rPr>
        <w:t xml:space="preserve">Attribute Name</w:t>
      </w:r>
      <w:r>
        <w:t xml:space="preserve">,</w:t>
      </w:r>
      <w:r>
        <w:t xml:space="preserve"> </w:t>
      </w:r>
      <w:r>
        <w:rPr>
          <w:b/>
          <w:bCs/>
        </w:rPr>
        <w:t xml:space="preserve">Type</w:t>
      </w:r>
      <w:r>
        <w:t xml:space="preserve">,</w:t>
      </w:r>
      <w:r>
        <w:t xml:space="preserve"> </w:t>
      </w:r>
      <w:r>
        <w:rPr>
          <w:b/>
          <w:bCs/>
        </w:rPr>
        <w:t xml:space="preserve">Target</w:t>
      </w:r>
      <w:r>
        <w:t xml:space="preserve">,</w:t>
      </w:r>
      <w:r>
        <w:t xml:space="preserve"> </w:t>
      </w:r>
      <w:r>
        <w:rPr>
          <w:b/>
          <w:bCs/>
        </w:rPr>
        <w:t xml:space="preserve">Lower Limit</w:t>
      </w:r>
      <w:r>
        <w:t xml:space="preserve">,</w:t>
      </w:r>
      <w:r>
        <w:t xml:space="preserve"> </w:t>
      </w:r>
      <w:r>
        <w:rPr>
          <w:b/>
          <w:bCs/>
        </w:rPr>
        <w:t xml:space="preserve">Upper Limit</w:t>
      </w:r>
      <w:r>
        <w:t xml:space="preserve">,</w:t>
      </w:r>
      <w:r>
        <w:t xml:space="preserve"> </w:t>
      </w:r>
      <w:r>
        <w:rPr>
          <w:b/>
          <w:bCs/>
        </w:rPr>
        <w:t xml:space="preserve">UOM</w:t>
      </w:r>
      <w:r>
        <w:t xml:space="preserve">, and</w:t>
      </w:r>
      <w:r>
        <w:t xml:space="preserve"> </w:t>
      </w:r>
      <w:r>
        <w:rPr>
          <w:b/>
          <w:bCs/>
        </w:rPr>
        <w:t xml:space="preserve">Trigger</w:t>
      </w:r>
      <w:r>
        <w:t xml:space="preserve"> </w:t>
      </w:r>
      <w:r>
        <w:t xml:space="preserve">(how often to sample). For the 5G0 Dimensional Spec v2: Surface Flatness (DECIMAL, target 0.002, lower 0.001, upper 0.003, in, FirstPiece), Bore Diameter (DECIMAL, target 25.40, lower 25.38, upper 25.42, mm, FirstPiece), and Porosity Visual (PASS/FAIL, target Pass, no numeric limits, Hourly). Each row defines exactly what the inspector enters on the floor and whether it’s a dimensional check or a pass/fail judgment. A</w:t>
      </w:r>
      <w:r>
        <w:t xml:space="preserve"> </w:t>
      </w:r>
      <w:r>
        <w:rPr>
          <w:b/>
          <w:bCs/>
        </w:rPr>
        <w:t xml:space="preserve">New Version</w:t>
      </w:r>
      <w:r>
        <w:t xml:space="preserve"> </w:t>
      </w:r>
      <w:r>
        <w:t xml:space="preserve">button clones the current spec into a draft for revision; published specs are read-only.</w:t>
      </w:r>
    </w:p>
    <w:p>
      <w:pPr>
        <w:pStyle w:val="CaptionedFigure"/>
      </w:pPr>
      <w:r>
        <w:drawing>
          <wp:inline>
            <wp:extent cx="5334000" cy="2650278"/>
            <wp:effectExtent b="0" l="0" r="0" t="0"/>
            <wp:docPr descr="Quality Specs Screen — 5G0 Dimensional Spec v2, Attributes tab with measurement details" title="" id="42" name="Picture"/>
            <a:graphic>
              <a:graphicData uri="http://schemas.openxmlformats.org/drawingml/2006/picture">
                <pic:pic>
                  <pic:nvPicPr>
                    <pic:cNvPr descr="docs/screenshots/screen-quality-specs.png" id="43" name="Picture"/>
                    <pic:cNvPicPr>
                      <a:picLocks noChangeArrowheads="1" noChangeAspect="1"/>
                    </pic:cNvPicPr>
                  </pic:nvPicPr>
                  <pic:blipFill>
                    <a:blip r:embed="rId41"/>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Quality Specs Screen — 5G0 Dimensional Spec v2, Attributes tab with measurement details</w:t>
      </w:r>
    </w:p>
    <w:p>
      <w:pPr>
        <w:pStyle w:val="BodyText"/>
      </w:pPr>
      <w:r>
        <w:t xml:space="preserve">Defect codes are managed in the</w:t>
      </w:r>
      <w:r>
        <w:t xml:space="preserve"> </w:t>
      </w:r>
      <w:r>
        <w:rPr>
          <w:b/>
          <w:bCs/>
        </w:rPr>
        <w:t xml:space="preserve">Quality › Defect Codes</w:t>
      </w:r>
      <w:r>
        <w:t xml:space="preserve"> </w:t>
      </w:r>
      <w:r>
        <w:t xml:space="preserve">screen. The left panel has an</w:t>
      </w:r>
      <w:r>
        <w:t xml:space="preserve"> </w:t>
      </w:r>
      <w:r>
        <w:rPr>
          <w:b/>
          <w:bCs/>
        </w:rPr>
        <w:t xml:space="preserve">Area</w:t>
      </w:r>
      <w:r>
        <w:t xml:space="preserve"> </w:t>
      </w:r>
      <w:r>
        <w:t xml:space="preserve">filter dropdown (All Areas, Die Cast, Machine Shop, Trim Shop, HSP), a</w:t>
      </w:r>
      <w:r>
        <w:t xml:space="preserve"> </w:t>
      </w:r>
      <w:r>
        <w:rPr>
          <w:b/>
          <w:bCs/>
        </w:rPr>
        <w:t xml:space="preserve">Search</w:t>
      </w:r>
      <w:r>
        <w:t xml:space="preserve"> </w:t>
      </w:r>
      <w:r>
        <w:t xml:space="preserve">field, and an</w:t>
      </w:r>
      <w:r>
        <w:t xml:space="preserve"> </w:t>
      </w:r>
      <w:r>
        <w:rPr>
          <w:b/>
          <w:bCs/>
        </w:rPr>
        <w:t xml:space="preserve">Include Deprecated</w:t>
      </w:r>
      <w:r>
        <w:t xml:space="preserve"> </w:t>
      </w:r>
      <w:r>
        <w:t xml:space="preserve">checkbox. The right panel is a table:</w:t>
      </w:r>
      <w:r>
        <w:t xml:space="preserve"> </w:t>
      </w:r>
      <w:r>
        <w:rPr>
          <w:b/>
          <w:bCs/>
        </w:rPr>
        <w:t xml:space="preserve">Code</w:t>
      </w:r>
      <w:r>
        <w:t xml:space="preserve">,</w:t>
      </w:r>
      <w:r>
        <w:t xml:space="preserve"> </w:t>
      </w:r>
      <w:r>
        <w:rPr>
          <w:b/>
          <w:bCs/>
        </w:rPr>
        <w:t xml:space="preserve">Description</w:t>
      </w:r>
      <w:r>
        <w:t xml:space="preserve">,</w:t>
      </w:r>
      <w:r>
        <w:t xml:space="preserve"> </w:t>
      </w:r>
      <w:r>
        <w:rPr>
          <w:b/>
          <w:bCs/>
        </w:rPr>
        <w:t xml:space="preserve">Area</w:t>
      </w:r>
      <w:r>
        <w:t xml:space="preserve">,</w:t>
      </w:r>
      <w:r>
        <w:t xml:space="preserve"> </w:t>
      </w:r>
      <w:r>
        <w:rPr>
          <w:b/>
          <w:bCs/>
        </w:rPr>
        <w:t xml:space="preserve">Excused</w:t>
      </w:r>
      <w:r>
        <w:t xml:space="preserve"> </w:t>
      </w:r>
      <w:r>
        <w:t xml:space="preserve">checkbox, and</w:t>
      </w:r>
      <w:r>
        <w:t xml:space="preserve"> </w:t>
      </w:r>
      <w:r>
        <w:rPr>
          <w:b/>
          <w:bCs/>
        </w:rPr>
        <w:t xml:space="preserve">Edit</w:t>
      </w:r>
      <w:r>
        <w:t xml:space="preserve"> </w:t>
      </w:r>
      <w:r>
        <w:t xml:space="preserve">button. Die Cast codes include DC-0135 Porosity, DC-0136 Cold Shut, DC-0137 Flash (excused ✓), DC-0138 Misrun. Machine Shop: MS-0001 Dimensional(OOT), MS-0143 Surface Finish, MS-0154 Tool Marks. Trim Shop: TS-0101 Burr—Trim. HSP vendor-part codes: HSP-0247 Vendor Defect—Dimensional. Clicking</w:t>
      </w:r>
      <w:r>
        <w:t xml:space="preserve"> </w:t>
      </w:r>
      <w:r>
        <w:rPr>
          <w:b/>
          <w:bCs/>
        </w:rPr>
        <w:t xml:space="preserve">Edit</w:t>
      </w:r>
      <w:r>
        <w:t xml:space="preserve"> </w:t>
      </w:r>
      <w:r>
        <w:t xml:space="preserve">on any row opens an inline editor for the description, area, and excused flag. The excused flag marks defects that are expected process variation — they’re tracked in full but don’t penalize OEE quality scores.</w:t>
      </w:r>
    </w:p>
    <w:p>
      <w:pPr>
        <w:pStyle w:val="CaptionedFigure"/>
      </w:pPr>
      <w:r>
        <w:drawing>
          <wp:inline>
            <wp:extent cx="5334000" cy="2650278"/>
            <wp:effectExtent b="0" l="0" r="0" t="0"/>
            <wp:docPr descr="Defect Codes Screen — All-area view showing codes across Die Cast, Machine Shop, Trim Shop, and HSP" title="" id="45" name="Picture"/>
            <a:graphic>
              <a:graphicData uri="http://schemas.openxmlformats.org/drawingml/2006/picture">
                <pic:pic>
                  <pic:nvPicPr>
                    <pic:cNvPr descr="docs/screenshots/screen-defect-codes.png" id="46" name="Picture"/>
                    <pic:cNvPicPr>
                      <a:picLocks noChangeArrowheads="1" noChangeAspect="1"/>
                    </pic:cNvPicPr>
                  </pic:nvPicPr>
                  <pic:blipFill>
                    <a:blip r:embed="rId44"/>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Defect Codes Screen — All-area view showing codes across Die Cast, Machine Shop, Trim Shop, and HSP</w:t>
      </w:r>
    </w:p>
    <w:bookmarkEnd w:id="47"/>
    <w:bookmarkStart w:id="54" w:name="defining-downtime-vocabulary"/>
    <w:p>
      <w:pPr>
        <w:pStyle w:val="Heading3"/>
      </w:pPr>
      <w:r>
        <w:t xml:space="preserve">Defining Downtime Vocabulary</w:t>
      </w:r>
    </w:p>
    <w:p>
      <w:pPr>
        <w:pStyle w:val="FirstParagraph"/>
      </w:pPr>
      <w:r>
        <w:t xml:space="preserve">Downtime reason codes are managed in the</w:t>
      </w:r>
      <w:r>
        <w:t xml:space="preserve"> </w:t>
      </w:r>
      <w:r>
        <w:rPr>
          <w:b/>
          <w:bCs/>
        </w:rPr>
        <w:t xml:space="preserve">Operations › Downtime Codes</w:t>
      </w:r>
      <w:r>
        <w:t xml:space="preserve"> </w:t>
      </w:r>
      <w:r>
        <w:t xml:space="preserve">screen. The left panel has an</w:t>
      </w:r>
      <w:r>
        <w:t xml:space="preserve"> </w:t>
      </w:r>
      <w:r>
        <w:rPr>
          <w:b/>
          <w:bCs/>
        </w:rPr>
        <w:t xml:space="preserve">Area</w:t>
      </w:r>
      <w:r>
        <w:t xml:space="preserve"> </w:t>
      </w:r>
      <w:r>
        <w:t xml:space="preserve">filter, a</w:t>
      </w:r>
      <w:r>
        <w:t xml:space="preserve"> </w:t>
      </w:r>
      <w:r>
        <w:rPr>
          <w:b/>
          <w:bCs/>
        </w:rPr>
        <w:t xml:space="preserve">Reason Type</w:t>
      </w:r>
      <w:r>
        <w:t xml:space="preserve"> </w:t>
      </w:r>
      <w:r>
        <w:t xml:space="preserve">filter (All Types, Equipment, Setup, Quality, Mold), a</w:t>
      </w:r>
      <w:r>
        <w:t xml:space="preserve"> </w:t>
      </w:r>
      <w:r>
        <w:rPr>
          <w:b/>
          <w:bCs/>
        </w:rPr>
        <w:t xml:space="preserve">Search</w:t>
      </w:r>
      <w:r>
        <w:t xml:space="preserve"> </w:t>
      </w:r>
      <w:r>
        <w:t xml:space="preserve">field, and an</w:t>
      </w:r>
      <w:r>
        <w:t xml:space="preserve"> </w:t>
      </w:r>
      <w:r>
        <w:rPr>
          <w:b/>
          <w:bCs/>
        </w:rPr>
        <w:t xml:space="preserve">Include Deprecated</w:t>
      </w:r>
      <w:r>
        <w:t xml:space="preserve"> </w:t>
      </w:r>
      <w:r>
        <w:t xml:space="preserve">checkbox. The right panel is a table:</w:t>
      </w:r>
      <w:r>
        <w:t xml:space="preserve"> </w:t>
      </w:r>
      <w:r>
        <w:rPr>
          <w:b/>
          <w:bCs/>
        </w:rPr>
        <w:t xml:space="preserve">Code</w:t>
      </w:r>
      <w:r>
        <w:t xml:space="preserve">,</w:t>
      </w:r>
      <w:r>
        <w:t xml:space="preserve"> </w:t>
      </w:r>
      <w:r>
        <w:rPr>
          <w:b/>
          <w:bCs/>
        </w:rPr>
        <w:t xml:space="preserve">Description</w:t>
      </w:r>
      <w:r>
        <w:t xml:space="preserve">,</w:t>
      </w:r>
      <w:r>
        <w:t xml:space="preserve"> </w:t>
      </w:r>
      <w:r>
        <w:rPr>
          <w:b/>
          <w:bCs/>
        </w:rPr>
        <w:t xml:space="preserve">Area</w:t>
      </w:r>
      <w:r>
        <w:t xml:space="preserve">,</w:t>
      </w:r>
      <w:r>
        <w:t xml:space="preserve"> </w:t>
      </w:r>
      <w:r>
        <w:rPr>
          <w:b/>
          <w:bCs/>
        </w:rPr>
        <w:t xml:space="preserve">Type</w:t>
      </w:r>
      <w:r>
        <w:t xml:space="preserve">,</w:t>
      </w:r>
      <w:r>
        <w:t xml:space="preserve"> </w:t>
      </w:r>
      <w:r>
        <w:rPr>
          <w:b/>
          <w:bCs/>
        </w:rPr>
        <w:t xml:space="preserve">Excused</w:t>
      </w:r>
      <w:r>
        <w:t xml:space="preserve"> </w:t>
      </w:r>
      <w:r>
        <w:t xml:space="preserve">checkbox, and</w:t>
      </w:r>
      <w:r>
        <w:t xml:space="preserve"> </w:t>
      </w:r>
      <w:r>
        <w:rPr>
          <w:b/>
          <w:bCs/>
        </w:rPr>
        <w:t xml:space="preserve">Edit</w:t>
      </w:r>
      <w:r>
        <w:t xml:space="preserve"> </w:t>
      </w:r>
      <w:r>
        <w:t xml:space="preserve">button. Die Cast codes include DC-0001 Die Stuck (Equipment), DC-0002 Hydraulic Leak (Equipment), DC-0015 Mold Change (Setup, excused ✓ — scheduled mold changes don’t penalize availability), DC-0030 Quality Hold—Line Stop (Quality). Machine Shop: MS-0001 Tool Change (Setup, excused ✓), MS-0010 Spindle Error (Equipment). Trim Shop: TS-0001 Trim Die Repair (Mold). The excused flag determines whether a downtime event is included in the OEE availability denominator — planned maintenance, required setup, and mold changes are typically excused so they don’t artificially depress the score. Clicking</w:t>
      </w:r>
      <w:r>
        <w:t xml:space="preserve"> </w:t>
      </w:r>
      <w:r>
        <w:rPr>
          <w:b/>
          <w:bCs/>
        </w:rPr>
        <w:t xml:space="preserve">Edit</w:t>
      </w:r>
      <w:r>
        <w:t xml:space="preserve"> </w:t>
      </w:r>
      <w:r>
        <w:t xml:space="preserve">opens an inline editor for the code’s description, area, type, and excused flag.</w:t>
      </w:r>
    </w:p>
    <w:p>
      <w:pPr>
        <w:pStyle w:val="CaptionedFigure"/>
      </w:pPr>
      <w:r>
        <w:drawing>
          <wp:inline>
            <wp:extent cx="5334000" cy="2650278"/>
            <wp:effectExtent b="0" l="0" r="0" t="0"/>
            <wp:docPr descr="Downtime Codes Screen — Multi-department view with Reason Type filter" title="" id="49" name="Picture"/>
            <a:graphic>
              <a:graphicData uri="http://schemas.openxmlformats.org/drawingml/2006/picture">
                <pic:pic>
                  <pic:nvPicPr>
                    <pic:cNvPr descr="docs/screenshots/screen-downtime-codes.png" id="50" name="Picture"/>
                    <pic:cNvPicPr>
                      <a:picLocks noChangeArrowheads="1" noChangeAspect="1"/>
                    </pic:cNvPicPr>
                  </pic:nvPicPr>
                  <pic:blipFill>
                    <a:blip r:embed="rId48"/>
                    <a:stretch>
                      <a:fillRect/>
                    </a:stretch>
                  </pic:blipFill>
                  <pic:spPr bwMode="auto">
                    <a:xfrm>
                      <a:off x="0" y="0"/>
                      <a:ext cx="5334000" cy="2650278"/>
                    </a:xfrm>
                    <a:prstGeom prst="rect">
                      <a:avLst/>
                    </a:prstGeom>
                    <a:noFill/>
                    <a:ln w="9525">
                      <a:noFill/>
                      <a:headEnd/>
                      <a:tailEnd/>
                    </a:ln>
                  </pic:spPr>
                </pic:pic>
              </a:graphicData>
            </a:graphic>
          </wp:inline>
        </w:drawing>
      </w:r>
    </w:p>
    <w:p>
      <w:pPr>
        <w:pStyle w:val="ImageCaption"/>
      </w:pPr>
      <w:r>
        <w:t xml:space="preserve">Downtime Codes Screen — Multi-department view with Reason Type filter</w:t>
      </w:r>
    </w:p>
    <w:p>
      <w:pPr>
        <w:pStyle w:val="BodyText"/>
      </w:pPr>
      <w:r>
        <w:t xml:space="preserve">Shift schedules are managed in the</w:t>
      </w:r>
      <w:r>
        <w:t xml:space="preserve"> </w:t>
      </w:r>
      <w:r>
        <w:rPr>
          <w:b/>
          <w:bCs/>
        </w:rPr>
        <w:t xml:space="preserve">Operations › Shift Schedules</w:t>
      </w:r>
      <w:r>
        <w:t xml:space="preserve"> </w:t>
      </w:r>
      <w:r>
        <w:t xml:space="preserve">screen. The table shows each schedule’s</w:t>
      </w:r>
      <w:r>
        <w:t xml:space="preserve"> </w:t>
      </w:r>
      <w:r>
        <w:rPr>
          <w:b/>
          <w:bCs/>
        </w:rPr>
        <w:t xml:space="preserve">Name</w:t>
      </w:r>
      <w:r>
        <w:t xml:space="preserve">,</w:t>
      </w:r>
      <w:r>
        <w:t xml:space="preserve"> </w:t>
      </w:r>
      <w:r>
        <w:rPr>
          <w:b/>
          <w:bCs/>
        </w:rPr>
        <w:t xml:space="preserve">Start</w:t>
      </w:r>
      <w:r>
        <w:t xml:space="preserve"> </w:t>
      </w:r>
      <w:r>
        <w:t xml:space="preserve">time,</w:t>
      </w:r>
      <w:r>
        <w:t xml:space="preserve"> </w:t>
      </w:r>
      <w:r>
        <w:rPr>
          <w:b/>
          <w:bCs/>
        </w:rPr>
        <w:t xml:space="preserve">End</w:t>
      </w:r>
      <w:r>
        <w:t xml:space="preserve"> </w:t>
      </w:r>
      <w:r>
        <w:t xml:space="preserve">time,</w:t>
      </w:r>
      <w:r>
        <w:t xml:space="preserve"> </w:t>
      </w:r>
      <w:r>
        <w:rPr>
          <w:b/>
          <w:bCs/>
        </w:rPr>
        <w:t xml:space="preserve">Days</w:t>
      </w:r>
      <w:r>
        <w:t xml:space="preserve"> </w:t>
      </w:r>
      <w:r>
        <w:t xml:space="preserve">(shown as M T W T F S S pill buttons — active days filled blue, inactive hollow),</w:t>
      </w:r>
      <w:r>
        <w:t xml:space="preserve"> </w:t>
      </w:r>
      <w:r>
        <w:rPr>
          <w:b/>
          <w:bCs/>
        </w:rPr>
        <w:t xml:space="preserve">Effective</w:t>
      </w:r>
      <w:r>
        <w:t xml:space="preserve"> </w:t>
      </w:r>
      <w:r>
        <w:t xml:space="preserve">date, and an</w:t>
      </w:r>
      <w:r>
        <w:t xml:space="preserve"> </w:t>
      </w:r>
      <w:r>
        <w:rPr>
          <w:b/>
          <w:bCs/>
        </w:rPr>
        <w:t xml:space="preserve">Edit</w:t>
      </w:r>
      <w:r>
        <w:t xml:space="preserve"> </w:t>
      </w:r>
      <w:r>
        <w:t xml:space="preserve">button. Three schedules are configured: First Shift (06:00–14:00, Mon–Fri, effective 2026-01-01), Second Shift (14:00–22:00, Mon–Fri, effective 2026-01-01), and Weekend OT (06:00–16:00, Sat–Sun only, effective 2026-01-01). The day-pill display makes it immediately clear which shifts cover weekends — Weekend OT shows only the S–S pills filled, while the weekday shifts show M–F filled with S–S hollow. Clicking</w:t>
      </w:r>
      <w:r>
        <w:t xml:space="preserve"> </w:t>
      </w:r>
      <w:r>
        <w:rPr>
          <w:b/>
          <w:bCs/>
        </w:rPr>
        <w:t xml:space="preserve">Edit</w:t>
      </w:r>
      <w:r>
        <w:t xml:space="preserve"> </w:t>
      </w:r>
      <w:r>
        <w:t xml:space="preserve">opens an inline editor for the times, day selection, and effective date.</w:t>
      </w:r>
    </w:p>
    <w:p>
      <w:pPr>
        <w:pStyle w:val="CaptionedFigure"/>
      </w:pPr>
      <w:r>
        <w:drawing>
          <wp:inline>
            <wp:extent cx="5334000" cy="2646109"/>
            <wp:effectExtent b="0" l="0" r="0" t="0"/>
            <wp:docPr descr="Shift Schedules Screen — Three-shift configuration with day-pill indicators" title="" id="52" name="Picture"/>
            <a:graphic>
              <a:graphicData uri="http://schemas.openxmlformats.org/drawingml/2006/picture">
                <pic:pic>
                  <pic:nvPicPr>
                    <pic:cNvPr descr="docs/screenshots/screen-shift-schedules.png" id="53" name="Picture"/>
                    <pic:cNvPicPr>
                      <a:picLocks noChangeArrowheads="1" noChangeAspect="1"/>
                    </pic:cNvPicPr>
                  </pic:nvPicPr>
                  <pic:blipFill>
                    <a:blip r:embed="rId51"/>
                    <a:stretch>
                      <a:fillRect/>
                    </a:stretch>
                  </pic:blipFill>
                  <pic:spPr bwMode="auto">
                    <a:xfrm>
                      <a:off x="0" y="0"/>
                      <a:ext cx="5334000" cy="2646109"/>
                    </a:xfrm>
                    <a:prstGeom prst="rect">
                      <a:avLst/>
                    </a:prstGeom>
                    <a:noFill/>
                    <a:ln w="9525">
                      <a:noFill/>
                      <a:headEnd/>
                      <a:tailEnd/>
                    </a:ln>
                  </pic:spPr>
                </pic:pic>
              </a:graphicData>
            </a:graphic>
          </wp:inline>
        </w:drawing>
      </w:r>
    </w:p>
    <w:p>
      <w:pPr>
        <w:pStyle w:val="ImageCaption"/>
      </w:pPr>
      <w:r>
        <w:t xml:space="preserve">Shift Schedules Screen — Three-shift configuration with day-pill indicators</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54"/>
    <w:bookmarkEnd w:id="55"/>
    <w:bookmarkStart w:id="65"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56" w:name="am-die-cast-a-lot-is-born"/>
    <w:p>
      <w:pPr>
        <w:pStyle w:val="Heading3"/>
      </w:pPr>
      <w:r>
        <w:t xml:space="preserve">6:20am — Die Cast: A LOT Is Born</w:t>
      </w:r>
    </w:p>
    <w:p>
      <w:pPr>
        <w:pStyle w:val="FirstParagraph"/>
      </w:pPr>
      <w:r>
        <w:t xml:space="preserve">Carlos is running die cast machine #7 today. He’s making 5G0 Front Covers — die #42, cavity B. The furnace is hot, the die is locked, and the first shot cycle completes. The casting drops into the trim press, gets trimmed, and falls into the basket beside his station.</w:t>
      </w:r>
    </w:p>
    <w:p>
      <w:pPr>
        <w:pStyle w:val="BodyText"/>
      </w:pPr>
      <w:r>
        <w:t xml:space="preserve">Carlos has a stack of pre-printed LOT Tracking Tickets — barcoded labels, each with a unique LOT ID (MPP pre-prints these in batches per FRS 2.2.1). He peels one off — LOT</w:t>
      </w:r>
      <w:r>
        <w:t xml:space="preserve"> </w:t>
      </w:r>
      <w:r>
        <w:rPr>
          <w:rStyle w:val="VerbatimChar"/>
        </w:rPr>
        <w:t xml:space="preserve">2026-04-06-0001</w:t>
      </w:r>
      <w:r>
        <w:t xml:space="preserve"> </w:t>
      </w:r>
      <w:r>
        <w:t xml:space="preserve">— and sticks it on the basket. He turns to the Ignition terminal next to his machine, scans the LTT barcode, and the MES opens the LOT creation screen. The terminal knows he’s Carlos (he badged in with his clock number and PIN at shift start), but he must manually enter the production data: Part Number 5G0, Die #42, Cavity B, and the piece count — 48 parts in this basket (per FRS 2.2.2:</w:t>
      </w:r>
      <w:r>
        <w:t xml:space="preserve"> </w:t>
      </w:r>
      <w:r>
        <w:t xml:space="preserve">“operators manually key that data into the MES”</w:t>
      </w:r>
      <w:r>
        <w:t xml:space="preserve">). The MES validates: is 48 ≤ max lot size for 5G0? Yes. Is 5G0 eligible to run on machine #7? Yes.</w:t>
      </w:r>
    </w:p>
    <w:p>
      <w:pPr>
        <w:pStyle w:val="BodyText"/>
      </w:pPr>
      <w:r>
        <w:t xml:space="preserve">He also enters shot counts — total shots, good shots, and warm-up shots. The paper production sheets (DCFM-1589/1785/2003) track warm-up shots separately from production shots because they affect yield calculations but aren’t part of the good count. The MES captures all three.</w:t>
      </w:r>
    </w:p>
    <w:p>
      <w:pPr>
        <w:pStyle w:val="BodyText"/>
      </w:pPr>
      <w:r>
        <w:t xml:space="preserve">The system creates the LOT. Origin type: MANUFACTURED. Status: GOOD. Location: Die Cast Machine #7. It writes a</w:t>
      </w:r>
      <w:r>
        <w:t xml:space="preserve"> </w:t>
      </w:r>
      <w:r>
        <w:rPr>
          <w:rStyle w:val="VerbatimChar"/>
        </w:rPr>
        <w:t xml:space="preserve">ProductionEvent</w:t>
      </w:r>
      <w:r>
        <w:t xml:space="preserve"> </w:t>
      </w:r>
      <w:r>
        <w:t xml:space="preserve">— 48 good, 0 no-good. It fires the Zebra printer and the LTT label comes out with the barcode, part number, quantity, date, die, cavity. The</w:t>
      </w:r>
      <w:r>
        <w:t xml:space="preserve"> </w:t>
      </w:r>
      <w:r>
        <w:rPr>
          <w:rStyle w:val="VerbatimChar"/>
        </w:rPr>
        <w:t xml:space="preserve">LotLabel</w:t>
      </w:r>
      <w:r>
        <w:t xml:space="preserve"> </w:t>
      </w:r>
      <w:r>
        <w:t xml:space="preserve">table records this print. The</w:t>
      </w:r>
      <w:r>
        <w:t xml:space="preserve"> </w:t>
      </w:r>
      <w:r>
        <w:rPr>
          <w:rStyle w:val="VerbatimChar"/>
        </w:rPr>
        <w:t xml:space="preserve">OperationLog</w:t>
      </w:r>
      <w:r>
        <w:t xml:space="preserve"> </w:t>
      </w:r>
      <w:r>
        <w:t xml:space="preserve">records everything Carlos just did.</w:t>
      </w:r>
    </w:p>
    <w:p>
      <w:pPr>
        <w:pStyle w:val="BodyText"/>
      </w:pPr>
      <w:r>
        <w:t xml:space="preserve">Carlos had 3 no-good parts from an earlier shot — porosity. He enters the reject count and selects defect code DC-POR-01 (Die Cast Porosity), quantity 3. A</w:t>
      </w:r>
      <w:r>
        <w:t xml:space="preserve"> </w:t>
      </w:r>
      <w:r>
        <w:rPr>
          <w:rStyle w:val="VerbatimChar"/>
        </w:rPr>
        <w:t xml:space="preserve">RejectEvent</w:t>
      </w:r>
      <w:r>
        <w:t xml:space="preserve"> </w:t>
      </w:r>
      <w:r>
        <w:t xml:space="preserve">is written. Per FRS Section 4, reject/scrap data is retained for analysis but is not considered part of the permanent production record in the same way good counts are — MPP may elect not to record rejects at every manufacturing step, and the MES allows but does not require reject entry at each operation. The LOT’s piece count doesn’t change — the rejects were never in the basket.</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56"/>
    <w:bookmarkStart w:id="57"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2026-04-06-0001</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Another</w:t>
      </w:r>
      <w:r>
        <w:t xml:space="preserve"> </w:t>
      </w:r>
      <w:r>
        <w:rPr>
          <w:rStyle w:val="VerbatimChar"/>
        </w:rPr>
        <w:t xml:space="preserve">ProductionEvent</w:t>
      </w:r>
      <w:r>
        <w:t xml:space="preserve"> </w:t>
      </w:r>
      <w:r>
        <w:t xml:space="preserve">records the Trim operation completion.</w:t>
      </w:r>
    </w:p>
    <w:bookmarkEnd w:id="57"/>
    <w:bookmarkStart w:id="58"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58"/>
    <w:bookmarkStart w:id="59"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59"/>
    <w:bookmarkStart w:id="60"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60"/>
    <w:bookmarkStart w:id="61"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She queries the genealogy: find all LOTs where die=42, cavity=A, created between yesterday 2pm and 10pm.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61"/>
    <w:bookmarkStart w:id="62"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62"/>
    <w:bookmarkStart w:id="63"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63"/>
    <w:bookmarkStart w:id="64"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64"/>
    <w:bookmarkEnd w:id="65"/>
    <w:bookmarkStart w:id="85"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66" w:name="X6a009e946b00d98ca99525ff57917526fe4984c"/>
    <w:p>
      <w:pPr>
        <w:pStyle w:val="Heading3"/>
      </w:pPr>
      <w:r>
        <w:t xml:space="preserve">1. Operator Authentication &amp; Session Model — 🔶 Pending Customer Validation</w:t>
      </w:r>
    </w:p>
    <w:p>
      <w:pPr>
        <w:pStyle w:val="FirstParagraph"/>
      </w:pPr>
      <w:r>
        <w:rPr>
          <w:b/>
          <w:bCs/>
        </w:rPr>
        <w:t xml:space="preserve">Assumption made:</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(2026-04-09):</w:t>
      </w:r>
      <w:r>
        <w:t xml:space="preserve"> </w:t>
      </w:r>
      <w:r>
        <w:t xml:space="preserve">Login on first action at terminal, 5-minute inactivity timeout with easy logout button for quick handoff at shared terminals. High-security actions (holds, releases, scrap) require re-authentication. Zone-based authentication requirements under investigation as an alternative.</w:t>
      </w:r>
      <w:r>
        <w:t xml:space="preserve"> </w:t>
      </w:r>
      <w:r>
        <w:rPr>
          <w:i/>
          <w:iCs/>
        </w:rPr>
        <w:t xml:space="preserve">Maps to OI-06.</w:t>
      </w:r>
    </w:p>
    <w:bookmarkEnd w:id="66"/>
    <w:bookmarkStart w:id="67"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bookmarkEnd w:id="67"/>
    <w:bookmarkStart w:id="68"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bookmarkEnd w:id="68"/>
    <w:bookmarkStart w:id="69"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69"/>
    <w:bookmarkStart w:id="70"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70"/>
    <w:bookmarkStart w:id="71"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71"/>
    <w:bookmarkStart w:id="72"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72"/>
    <w:bookmarkStart w:id="73"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bookmarkEnd w:id="73"/>
    <w:bookmarkStart w:id="74"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74"/>
    <w:bookmarkStart w:id="75"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75"/>
    <w:bookmarkStart w:id="76"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76"/>
    <w:bookmarkStart w:id="77"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77"/>
    <w:bookmarkStart w:id="78"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78"/>
    <w:bookmarkStart w:id="79"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79"/>
    <w:bookmarkStart w:id="80"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80"/>
    <w:bookmarkStart w:id="81"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81"/>
    <w:bookmarkStart w:id="82"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82"/>
    <w:bookmarkStart w:id="83"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83"/>
    <w:bookmarkStart w:id="84"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84"/>
    <w:bookmarkEnd w:id="85"/>
    <w:bookmarkStart w:id="86"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Cluster</w:t>
            </w:r>
          </w:p>
        </w:tc>
        <w:tc>
          <w:tcPr/>
          <w:p>
            <w:pPr>
              <w:pStyle w:val="Compact"/>
            </w:pPr>
            <w:r>
              <w:t xml:space="preserve">Blocks</w:t>
            </w:r>
          </w:p>
        </w:tc>
        <w:tc>
          <w:tcPr/>
          <w:p>
            <w:pPr>
              <w:pStyle w:val="Compact"/>
            </w:pPr>
            <w: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p>
            <w:pPr>
              <w:pStyle w:val="Compact"/>
            </w:pPr>
            <w:r>
              <w:rPr>
                <w:b/>
                <w:bCs/>
              </w:rPr>
              <w:t xml:space="preserve">LOT creation flow</w:t>
            </w:r>
            <w:r>
              <w:t xml:space="preserve"> </w:t>
            </w:r>
            <w:r>
              <w:t xml:space="preserve">(#2, #3, #14)</w:t>
            </w:r>
          </w:p>
        </w:tc>
        <w:tc>
          <w:tcPr/>
          <w:p>
            <w:pPr>
              <w:pStyle w:val="Compact"/>
            </w:pPr>
            <w:r>
              <w:t xml:space="preserve">Die Cast and Machining screens</w:t>
            </w:r>
          </w:p>
        </w:tc>
        <w:tc>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p>
            <w:pPr>
              <w:pStyle w:val="Compact"/>
            </w:pPr>
            <w:r>
              <w:rPr>
                <w:b/>
                <w:bCs/>
              </w:rPr>
              <w:t xml:space="preserve">Work order model</w:t>
            </w:r>
            <w:r>
              <w:t xml:space="preserve"> </w:t>
            </w:r>
            <w:r>
              <w:t xml:space="preserve">(#7)</w:t>
            </w:r>
          </w:p>
        </w:tc>
        <w:tc>
          <w:tcPr/>
          <w:p>
            <w:pPr>
              <w:pStyle w:val="Compact"/>
            </w:pPr>
            <w:r>
              <w:t xml:space="preserve">Production tracking architecture</w:t>
            </w:r>
          </w:p>
        </w:tc>
        <w:tc>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p>
            <w:pPr>
              <w:pStyle w:val="Compact"/>
            </w:pPr>
            <w:r>
              <w:rPr>
                <w:b/>
                <w:bCs/>
              </w:rPr>
              <w:t xml:space="preserve">Material verification &amp; interlocks</w:t>
            </w:r>
            <w:r>
              <w:t xml:space="preserve"> </w:t>
            </w:r>
            <w:r>
              <w:t xml:space="preserve">(#9, #16, #17)</w:t>
            </w:r>
          </w:p>
        </w:tc>
        <w:tc>
          <w:tcPr/>
          <w:p>
            <w:pPr>
              <w:pStyle w:val="Compact"/>
            </w:pPr>
            <w:r>
              <w:t xml:space="preserve">Assembly screens</w:t>
            </w:r>
          </w:p>
        </w:tc>
        <w:tc>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p>
            <w:pPr>
              <w:pStyle w:val="Compact"/>
            </w:pPr>
            <w:r>
              <w:rPr>
                <w:b/>
                <w:bCs/>
              </w:rPr>
              <w:t xml:space="preserve">Paper vs. real-time</w:t>
            </w:r>
            <w:r>
              <w:t xml:space="preserve"> </w:t>
            </w:r>
            <w:r>
              <w:t xml:space="preserve">(#11, #12, #19)</w:t>
            </w:r>
          </w:p>
        </w:tc>
        <w:tc>
          <w:tcPr/>
          <w:p>
            <w:pPr>
              <w:pStyle w:val="Compact"/>
            </w:pPr>
            <w:r>
              <w:t xml:space="preserve">All operator screens</w:t>
            </w:r>
          </w:p>
        </w:tc>
        <w:tc>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86"/>
    <w:bookmarkStart w:id="87" w:name="related-documents"/>
    <w:p>
      <w:pPr>
        <w:pStyle w:val="Heading2"/>
      </w:pPr>
      <w:r>
        <w:t xml:space="preserve">Related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p>
            <w:pPr>
              <w:pStyle w:val="Compact"/>
            </w:pPr>
            <w:r>
              <w:rPr>
                <w:rStyle w:val="VerbatimChar"/>
              </w:rPr>
              <w:t xml:space="preserve">MPP_MES_DATA_MODEL.md</w:t>
            </w:r>
          </w:p>
        </w:tc>
        <w:tc>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p>
            <w:pPr>
              <w:pStyle w:val="Compact"/>
            </w:pPr>
            <w:r>
              <w:rPr>
                <w:rStyle w:val="VerbatimChar"/>
              </w:rPr>
              <w:t xml:space="preserve">reference/5GO_AP4_Automation_Touchpoint_Agreement.md</w:t>
            </w:r>
          </w:p>
        </w:tc>
        <w:tc>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p>
            <w:pPr>
              <w:pStyle w:val="Compact"/>
            </w:pPr>
            <w:r>
              <w:rPr>
                <w:rStyle w:val="VerbatimChar"/>
              </w:rPr>
              <w:t xml:space="preserve">reference/MS1FM-*.xlsx</w:t>
            </w:r>
          </w:p>
        </w:tc>
        <w:tc>
          <w:tcPr/>
          <w:p>
            <w:pPr>
              <w:pStyle w:val="Compact"/>
            </w:pPr>
            <w:r>
              <w:t xml:space="preserve">Line-specific production sheets showing per-line data entry fields</w:t>
            </w:r>
          </w:p>
        </w:tc>
      </w:tr>
    </w:tbl>
    <w:p>
      <w:r>
        <w:pict>
          <v:rect style="width:0;height:1.5pt" o:hralign="center" o:hrstd="t" o:hr="t"/>
        </w:pict>
      </w:r>
    </w:p>
    <w:bookmarkEnd w:id="87"/>
    <w:bookmarkStart w:id="88"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Finding</w:t>
            </w:r>
          </w:p>
        </w:tc>
        <w:tc>
          <w:tcPr/>
          <w:p>
            <w:pPr>
              <w:pStyle w:val="Compact"/>
            </w:pPr>
            <w: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p>
            <w:pPr>
              <w:pStyle w:val="Compact"/>
            </w:pPr>
            <w:r>
              <w:t xml:space="preserve">FRS 2.2.3</w:t>
            </w:r>
          </w:p>
        </w:tc>
        <w:tc>
          <w:tcPr/>
          <w:p>
            <w:pPr>
              <w:pStyle w:val="Compact"/>
            </w:pPr>
            <w:r>
              <w:t xml:space="preserve">Trim Shop uses weight-based piece count estimation, not physical count confirmation</w:t>
            </w:r>
          </w:p>
        </w:tc>
        <w:tc>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p>
            <w:pPr>
              <w:pStyle w:val="Compact"/>
            </w:pPr>
            <w:r>
              <w:t xml:space="preserve">FRS Section 4</w:t>
            </w:r>
          </w:p>
        </w:tc>
        <w:tc>
          <w:tcPr/>
          <w:p>
            <w:pPr>
              <w:pStyle w:val="Compact"/>
            </w:pPr>
            <w:r>
              <w:t xml:space="preserve">Reject/scrap data is</w:t>
            </w:r>
            <w:r>
              <w:t xml:space="preserve"> </w:t>
            </w:r>
            <w:r>
              <w:t xml:space="preserve">“not considered part of the permanent production records”</w:t>
            </w:r>
            <w:r>
              <w:t xml:space="preserve">; recording is optional per step</w:t>
            </w:r>
          </w:p>
        </w:tc>
        <w:tc>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p>
            <w:pPr>
              <w:pStyle w:val="Compact"/>
            </w:pPr>
            <w:r>
              <w:t xml:space="preserve">FRS 2.1.10, 2.2.7</w:t>
            </w:r>
          </w:p>
        </w:tc>
        <w:tc>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p>
            <w:pPr>
              <w:pStyle w:val="Compact"/>
            </w:pPr>
            <w:r>
              <w:t xml:space="preserve">Appendix C OPC tags</w:t>
            </w:r>
          </w:p>
        </w:tc>
        <w:tc>
          <w:tcPr/>
          <w:p>
            <w:pPr>
              <w:pStyle w:val="Compact"/>
            </w:pPr>
            <w:r>
              <w:t xml:space="preserve">Non-serialized lines have defined PLC integration (PartDisposition, ContainerName), not undefined</w:t>
            </w:r>
          </w:p>
        </w:tc>
        <w:tc>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p>
            <w:pPr>
              <w:pStyle w:val="Compact"/>
            </w:pPr>
            <w:r>
              <w:t xml:space="preserve">Touchpoint Agreement 1.1</w:t>
            </w:r>
          </w:p>
        </w:tc>
        <w:tc>
          <w:tcPr/>
          <w:p>
            <w:pPr>
              <w:pStyle w:val="Compact"/>
            </w:pPr>
            <w:r>
              <w:rPr>
                <w:rStyle w:val="VerbatimChar"/>
              </w:rPr>
              <w:t xml:space="preserve">HardwareInterlockEnable=false</w:t>
            </w:r>
            <w:r>
              <w:t xml:space="preserve"> </w:t>
            </w:r>
            <w:r>
              <w:t xml:space="preserve">is a valid bypass mode, not an error</w:t>
            </w:r>
          </w:p>
        </w:tc>
        <w:tc>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p>
            <w:pPr>
              <w:pStyle w:val="Compact"/>
            </w:pPr>
            <w:r>
              <w:t xml:space="preserve">DCFM paper sheets</w:t>
            </w:r>
          </w:p>
        </w:tc>
        <w:tc>
          <w:tcPr/>
          <w:p>
            <w:pPr>
              <w:pStyle w:val="Compact"/>
            </w:pPr>
            <w:r>
              <w:t xml:space="preserve">Shift runtime adjustments (lunch, breaks, overtime) are manual additions</w:t>
            </w:r>
          </w:p>
        </w:tc>
        <w:tc>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p>
            <w:pPr>
              <w:pStyle w:val="Compact"/>
            </w:pPr>
            <w:r>
              <w:t xml:space="preserve">Spark Dependency Register B.12</w:t>
            </w:r>
          </w:p>
        </w:tc>
        <w:tc>
          <w:tcPr/>
          <w:p>
            <w:pPr>
              <w:pStyle w:val="Compact"/>
            </w:pPr>
            <w:r>
              <w:t xml:space="preserve">Event outbox + background worker pattern makes AIM/label calls async</w:t>
            </w:r>
          </w:p>
        </w:tc>
        <w:tc>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p>
            <w:pPr>
              <w:pStyle w:val="Compact"/>
            </w:pPr>
            <w:r>
              <w:t xml:space="preserve">Scope Matrix row 20</w:t>
            </w:r>
          </w:p>
        </w:tc>
        <w:tc>
          <w:tcPr/>
          <w:p>
            <w:pPr>
              <w:pStyle w:val="Compact"/>
            </w:pPr>
            <w:r>
              <w:t xml:space="preserve">Pass-through full workflow is FUTURE; receiving is MVP</w:t>
            </w:r>
          </w:p>
        </w:tc>
        <w:tc>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p>
            <w:pPr>
              <w:pStyle w:val="Compact"/>
            </w:pPr>
            <w:r>
              <w:t xml:space="preserve">Appendix C OPC tags</w:t>
            </w:r>
          </w:p>
        </w:tc>
        <w:tc>
          <w:tcPr/>
          <w:p>
            <w:pPr>
              <w:pStyle w:val="Compact"/>
            </w:pPr>
            <w:r>
              <w:t xml:space="preserve">Vision-based part confirmation on some lines (VisionPartNumber)</w:t>
            </w:r>
          </w:p>
        </w:tc>
        <w:tc>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p>
            <w:pPr>
              <w:pStyle w:val="Compact"/>
            </w:pPr>
            <w:r>
              <w:t xml:space="preserve">Appendix D</w:t>
            </w:r>
          </w:p>
        </w:tc>
        <w:tc>
          <w:tcPr/>
          <w:p>
            <w:pPr>
              <w:pStyle w:val="Compact"/>
            </w:pPr>
            <w:r>
              <w:t xml:space="preserve">Downtime code count of ~660 confirmed (662 entries in FRS)</w:t>
            </w:r>
          </w:p>
        </w:tc>
        <w:tc>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p>
            <w:pPr>
              <w:pStyle w:val="Compact"/>
            </w:pPr>
            <w:r>
              <w:t xml:space="preserve">Appendix H, I</w:t>
            </w:r>
          </w:p>
        </w:tc>
        <w:tc>
          <w:tcPr/>
          <w:p>
            <w:pPr>
              <w:pStyle w:val="Compact"/>
            </w:pPr>
            <w:r>
              <w:t xml:space="preserve">Legacy UI screens and work instructions are placeholder-only in FRS — cannot validate operator workflows</w:t>
            </w:r>
          </w:p>
        </w:tc>
        <w:tc>
          <w:tcPr/>
          <w:p>
            <w:pPr>
              <w:pStyle w:val="Compact"/>
            </w:pPr>
            <w:r>
              <w:t xml:space="preserve">Noted — no action possible</w:t>
            </w:r>
          </w:p>
        </w:tc>
      </w:tr>
    </w:tbl>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2026-04-16T18:05:55Z</dcterms:created>
  <dcterms:modified xsi:type="dcterms:W3CDTF">2026-04-16T18:05:55Z</dcterms:modified>
</cp:coreProperties>
</file>

<file path=docProps/custom.xml><?xml version="1.0" encoding="utf-8"?>
<Properties xmlns="http://schemas.openxmlformats.org/officeDocument/2006/custom-properties" xmlns:vt="http://schemas.openxmlformats.org/officeDocument/2006/docPropsVTypes"/>
</file>